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A6" w:rsidRPr="00D01FA0" w:rsidRDefault="00D01FA0" w:rsidP="003C5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FA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35D2" w:rsidRPr="00D01FA0">
        <w:rPr>
          <w:rFonts w:ascii="Times New Roman" w:hAnsi="Times New Roman" w:cs="Times New Roman"/>
          <w:b/>
          <w:bCs/>
          <w:sz w:val="28"/>
          <w:szCs w:val="28"/>
        </w:rPr>
        <w:t xml:space="preserve">° </w:t>
      </w:r>
      <w:r w:rsidR="003C5CA6" w:rsidRPr="00D01FA0">
        <w:rPr>
          <w:rFonts w:ascii="Times New Roman" w:hAnsi="Times New Roman" w:cs="Times New Roman"/>
          <w:b/>
          <w:bCs/>
          <w:sz w:val="28"/>
          <w:szCs w:val="28"/>
        </w:rPr>
        <w:t xml:space="preserve">AVVISO PUBBLICO PER L’EROGAZIONE DEL BUONO SPESA </w:t>
      </w:r>
      <w:bookmarkStart w:id="0" w:name="contenuti"/>
      <w:r w:rsidR="003C5CA6" w:rsidRPr="00D01FA0">
        <w:rPr>
          <w:rFonts w:ascii="Times New Roman" w:hAnsi="Times New Roman" w:cs="Times New Roman"/>
          <w:b/>
          <w:bCs/>
          <w:sz w:val="28"/>
          <w:szCs w:val="28"/>
        </w:rPr>
        <w:t>A SOSTEGNO DELLE FAMIGLIE CONNESSO ALL'EMERGENZA DA COVID-1</w:t>
      </w:r>
      <w:bookmarkEnd w:id="0"/>
      <w:r w:rsidR="00B36E7D" w:rsidRPr="00D01FA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873E4" w:rsidRPr="00D01FA0" w:rsidRDefault="009F077D" w:rsidP="0032101B">
      <w:pPr>
        <w:jc w:val="both"/>
        <w:rPr>
          <w:rFonts w:ascii="Times New Roman" w:hAnsi="Times New Roman" w:cs="Times New Roman"/>
          <w:sz w:val="24"/>
          <w:szCs w:val="24"/>
        </w:rPr>
      </w:pPr>
      <w:r w:rsidRPr="00D01FA0">
        <w:rPr>
          <w:rFonts w:ascii="Times New Roman" w:hAnsi="Times New Roman" w:cs="Times New Roman"/>
          <w:sz w:val="24"/>
          <w:szCs w:val="24"/>
        </w:rPr>
        <w:t xml:space="preserve">Questo Avviso </w:t>
      </w:r>
      <w:r w:rsidR="00C34CDE" w:rsidRPr="00D01FA0">
        <w:rPr>
          <w:rFonts w:ascii="Times New Roman" w:hAnsi="Times New Roman" w:cs="Times New Roman"/>
          <w:sz w:val="24"/>
          <w:szCs w:val="24"/>
        </w:rPr>
        <w:t xml:space="preserve">pubblico costituisce attuazione del Decreto Legislativo n.154 del 23.11.2020 e </w:t>
      </w:r>
      <w:r w:rsidRPr="00D01FA0">
        <w:rPr>
          <w:rFonts w:ascii="Times New Roman" w:hAnsi="Times New Roman" w:cs="Times New Roman"/>
          <w:sz w:val="24"/>
          <w:szCs w:val="24"/>
        </w:rPr>
        <w:t>dell’</w:t>
      </w:r>
      <w:r w:rsidR="00A873E4" w:rsidRPr="00D01FA0">
        <w:rPr>
          <w:rFonts w:ascii="Times New Roman" w:hAnsi="Times New Roman" w:cs="Times New Roman"/>
          <w:sz w:val="24"/>
          <w:szCs w:val="24"/>
        </w:rPr>
        <w:t>O</w:t>
      </w:r>
      <w:r w:rsidRPr="00D01FA0">
        <w:rPr>
          <w:rFonts w:ascii="Times New Roman" w:hAnsi="Times New Roman" w:cs="Times New Roman"/>
          <w:sz w:val="24"/>
          <w:szCs w:val="24"/>
        </w:rPr>
        <w:t>rdinanza</w:t>
      </w:r>
      <w:r w:rsidR="00780B85" w:rsidRPr="00D01FA0">
        <w:rPr>
          <w:rFonts w:ascii="Times New Roman" w:hAnsi="Times New Roman" w:cs="Times New Roman"/>
          <w:sz w:val="24"/>
          <w:szCs w:val="24"/>
        </w:rPr>
        <w:t xml:space="preserve"> del Capo della Protezione Civile</w:t>
      </w:r>
      <w:r w:rsidR="00C34CDE" w:rsidRPr="00D01FA0">
        <w:rPr>
          <w:rFonts w:ascii="Times New Roman" w:hAnsi="Times New Roman" w:cs="Times New Roman"/>
          <w:sz w:val="24"/>
          <w:szCs w:val="24"/>
        </w:rPr>
        <w:t xml:space="preserve"> n.658</w:t>
      </w:r>
      <w:r w:rsidRPr="00D01FA0">
        <w:rPr>
          <w:rFonts w:ascii="Times New Roman" w:hAnsi="Times New Roman" w:cs="Times New Roman"/>
          <w:sz w:val="24"/>
          <w:szCs w:val="24"/>
        </w:rPr>
        <w:t xml:space="preserve"> </w:t>
      </w:r>
      <w:r w:rsidR="00780B85" w:rsidRPr="00D01FA0">
        <w:rPr>
          <w:rFonts w:ascii="Times New Roman" w:hAnsi="Times New Roman" w:cs="Times New Roman"/>
          <w:sz w:val="24"/>
          <w:szCs w:val="24"/>
        </w:rPr>
        <w:t>del 29.03.2020</w:t>
      </w:r>
      <w:r w:rsidRPr="00D01FA0">
        <w:rPr>
          <w:rFonts w:ascii="Times New Roman" w:hAnsi="Times New Roman" w:cs="Times New Roman"/>
          <w:sz w:val="24"/>
          <w:szCs w:val="24"/>
        </w:rPr>
        <w:t xml:space="preserve"> “ULTERIORI INTERVENTI URGENTI DI PROTEZIONE CIVILE IN RELAZIONE ALL’EMERGENZA RELATIVA AL RISCHIO SANITARIO CONNESSO ALL’INSORGENZA DI PATOLOGIE DERIVANTI DA AGENTI VIRALI E TRASMISSIBILI”</w:t>
      </w:r>
      <w:r w:rsidR="000B3CDB" w:rsidRPr="00D01FA0">
        <w:rPr>
          <w:rFonts w:ascii="Times New Roman" w:hAnsi="Times New Roman" w:cs="Times New Roman"/>
          <w:sz w:val="24"/>
          <w:szCs w:val="24"/>
        </w:rPr>
        <w:t>.</w:t>
      </w:r>
    </w:p>
    <w:p w:rsidR="00D01FA0" w:rsidRDefault="00D01FA0" w:rsidP="00122C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F8" w:rsidRPr="00D01FA0" w:rsidRDefault="009F077D" w:rsidP="00122C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FA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475F8" w:rsidRPr="00D01FA0">
        <w:rPr>
          <w:rFonts w:ascii="Times New Roman" w:hAnsi="Times New Roman" w:cs="Times New Roman"/>
          <w:b/>
          <w:bCs/>
          <w:sz w:val="24"/>
          <w:szCs w:val="24"/>
        </w:rPr>
        <w:t>BIETTIVI</w:t>
      </w:r>
    </w:p>
    <w:p w:rsidR="00D01FA0" w:rsidRPr="00D01FA0" w:rsidRDefault="009475F8" w:rsidP="00122CBB">
      <w:pPr>
        <w:jc w:val="both"/>
        <w:rPr>
          <w:rFonts w:ascii="Times New Roman" w:hAnsi="Times New Roman" w:cs="Times New Roman"/>
          <w:sz w:val="24"/>
          <w:szCs w:val="24"/>
        </w:rPr>
      </w:pPr>
      <w:r w:rsidRPr="00D01FA0">
        <w:rPr>
          <w:rFonts w:ascii="Times New Roman" w:hAnsi="Times New Roman" w:cs="Times New Roman"/>
          <w:sz w:val="24"/>
          <w:szCs w:val="24"/>
        </w:rPr>
        <w:t>L</w:t>
      </w:r>
      <w:r w:rsidR="00EA7C98" w:rsidRPr="00D01FA0">
        <w:rPr>
          <w:rFonts w:ascii="Times New Roman" w:hAnsi="Times New Roman" w:cs="Times New Roman"/>
          <w:sz w:val="24"/>
          <w:szCs w:val="24"/>
        </w:rPr>
        <w:t>’Amministrazione C</w:t>
      </w:r>
      <w:r w:rsidR="009F077D" w:rsidRPr="00D01FA0">
        <w:rPr>
          <w:rFonts w:ascii="Times New Roman" w:hAnsi="Times New Roman" w:cs="Times New Roman"/>
          <w:sz w:val="24"/>
          <w:szCs w:val="24"/>
        </w:rPr>
        <w:t xml:space="preserve">omunale intende </w:t>
      </w:r>
      <w:r w:rsidR="00D01FA0" w:rsidRPr="00D01FA0">
        <w:rPr>
          <w:rFonts w:ascii="Times New Roman" w:hAnsi="Times New Roman" w:cs="Times New Roman"/>
          <w:sz w:val="24"/>
          <w:szCs w:val="24"/>
        </w:rPr>
        <w:t>riaprire i termini di presentazione delle domande di assegnazione dei buoni spesa, spendibili per generi alimentari e di prima necessità, a</w:t>
      </w:r>
      <w:r w:rsidRPr="00D01FA0">
        <w:rPr>
          <w:rFonts w:ascii="Times New Roman" w:hAnsi="Times New Roman" w:cs="Times New Roman"/>
          <w:sz w:val="24"/>
          <w:szCs w:val="24"/>
        </w:rPr>
        <w:t xml:space="preserve"> sostegno delle famiglie</w:t>
      </w:r>
      <w:r w:rsidR="00D01FA0" w:rsidRPr="00D01FA0">
        <w:rPr>
          <w:rFonts w:ascii="Times New Roman" w:hAnsi="Times New Roman" w:cs="Times New Roman"/>
          <w:sz w:val="24"/>
          <w:szCs w:val="24"/>
        </w:rPr>
        <w:t xml:space="preserve"> che si trovano in una situazione di difficoltà come conseguenza diretta dell’emergenza epidemiologica e delle misure di contenimento adottate.</w:t>
      </w:r>
    </w:p>
    <w:p w:rsidR="00D01FA0" w:rsidRDefault="00D01FA0" w:rsidP="00122C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77D" w:rsidRPr="00D01FA0" w:rsidRDefault="009F077D" w:rsidP="00122C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FA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7423E" w:rsidRPr="00D01FA0">
        <w:rPr>
          <w:rFonts w:ascii="Times New Roman" w:hAnsi="Times New Roman" w:cs="Times New Roman"/>
          <w:b/>
          <w:bCs/>
          <w:sz w:val="24"/>
          <w:szCs w:val="24"/>
        </w:rPr>
        <w:t xml:space="preserve">EQUISITI </w:t>
      </w:r>
      <w:proofErr w:type="spellStart"/>
      <w:r w:rsidR="0057423E" w:rsidRPr="00D01FA0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57423E" w:rsidRPr="00D01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800" w:rsidRPr="00D01FA0">
        <w:rPr>
          <w:rFonts w:ascii="Times New Roman" w:hAnsi="Times New Roman" w:cs="Times New Roman"/>
          <w:b/>
          <w:bCs/>
          <w:sz w:val="24"/>
          <w:szCs w:val="24"/>
        </w:rPr>
        <w:t>ACCESSO</w:t>
      </w:r>
    </w:p>
    <w:p w:rsidR="00D01FA0" w:rsidRPr="00D01FA0" w:rsidRDefault="00D01FA0" w:rsidP="00D01FA0">
      <w:pPr>
        <w:pStyle w:val="NormaleWeb"/>
        <w:shd w:val="clear" w:color="auto" w:fill="FFFFFF"/>
        <w:spacing w:before="0" w:beforeAutospacing="0"/>
        <w:jc w:val="both"/>
      </w:pPr>
      <w:r w:rsidRPr="00D01FA0">
        <w:t xml:space="preserve">Possono presentare </w:t>
      </w:r>
      <w:r>
        <w:t>la richiesta di assegnazione buoni spesa</w:t>
      </w:r>
      <w:r w:rsidRPr="00D01FA0">
        <w:t>:</w:t>
      </w:r>
    </w:p>
    <w:p w:rsidR="00D01FA0" w:rsidRPr="00D01FA0" w:rsidRDefault="00D01FA0" w:rsidP="00D01FA0">
      <w:pPr>
        <w:pStyle w:val="NormaleWeb"/>
        <w:numPr>
          <w:ilvl w:val="0"/>
          <w:numId w:val="6"/>
        </w:numPr>
        <w:shd w:val="clear" w:color="auto" w:fill="FFFFFF"/>
        <w:spacing w:before="0" w:beforeAutospacing="0"/>
        <w:jc w:val="both"/>
      </w:pPr>
      <w:r w:rsidRPr="00D01FA0">
        <w:t>I cittadini</w:t>
      </w:r>
      <w:r>
        <w:t>/nuclei famigliari</w:t>
      </w:r>
      <w:r w:rsidRPr="00D01FA0">
        <w:t xml:space="preserve"> in una situazione caratterizzata da riduzione della capacità economica del nucleo familiare a fronte della perdita o della riduzione del lavoro (licenziamento, chiusura o sospensione dell’attività, applicazione della misura della Cassa Integrazione) come conseguenza diretta dell’emergenza epidemiologica e delle misure di contenimento adottate</w:t>
      </w:r>
      <w:r w:rsidR="00950FAF">
        <w:t>;</w:t>
      </w:r>
    </w:p>
    <w:p w:rsidR="00D01FA0" w:rsidRPr="00D01FA0" w:rsidRDefault="00D01FA0" w:rsidP="00D01FA0">
      <w:pPr>
        <w:pStyle w:val="NormaleWeb"/>
        <w:numPr>
          <w:ilvl w:val="0"/>
          <w:numId w:val="6"/>
        </w:numPr>
        <w:shd w:val="clear" w:color="auto" w:fill="FFFFFF"/>
        <w:spacing w:before="0" w:beforeAutospacing="0"/>
        <w:jc w:val="both"/>
      </w:pPr>
      <w:r>
        <w:rPr>
          <w:iCs/>
        </w:rPr>
        <w:t xml:space="preserve">I cittadini/nuclei famigliari </w:t>
      </w:r>
      <w:r>
        <w:t>i</w:t>
      </w:r>
      <w:r w:rsidRPr="00D01FA0">
        <w:t>n una situazione di precedente disoccupazione di uno o più componenti, non causata dall’emergenza epidemiologica ed alle misure di contenimento, ma rispetto alla quale l'emergenza in essere rappresenta un ulteriore ostacolo per la modifica della pro</w:t>
      </w:r>
      <w:r w:rsidR="00950FAF">
        <w:t>pria situazione socio-economica;</w:t>
      </w:r>
    </w:p>
    <w:p w:rsidR="00D01FA0" w:rsidRPr="00D01FA0" w:rsidRDefault="00D01FA0" w:rsidP="00D01FA0">
      <w:pPr>
        <w:pStyle w:val="NormaleWeb"/>
        <w:numPr>
          <w:ilvl w:val="0"/>
          <w:numId w:val="6"/>
        </w:numPr>
        <w:shd w:val="clear" w:color="auto" w:fill="FFFFFF"/>
        <w:spacing w:before="0" w:beforeAutospacing="0"/>
        <w:jc w:val="both"/>
      </w:pPr>
      <w:r w:rsidRPr="00D01FA0">
        <w:t>I cittadini</w:t>
      </w:r>
      <w:r w:rsidR="00950FAF">
        <w:t>/nuclei famigliari</w:t>
      </w:r>
      <w:r w:rsidRPr="00D01FA0">
        <w:t xml:space="preserve"> con giacenza complessiva sul conto corrente bancario o postale di valore non superiore ad € 5.000,00</w:t>
      </w:r>
      <w:r w:rsidR="00950FAF">
        <w:t xml:space="preserve"> alla data del 01.03.2021.</w:t>
      </w:r>
    </w:p>
    <w:p w:rsidR="00B15B6F" w:rsidRDefault="00B15B6F" w:rsidP="00122CBB">
      <w:pPr>
        <w:pStyle w:val="NormaleWeb"/>
        <w:shd w:val="clear" w:color="auto" w:fill="FFFFFF"/>
        <w:spacing w:before="0" w:beforeAutospacing="0"/>
        <w:jc w:val="both"/>
      </w:pPr>
    </w:p>
    <w:p w:rsidR="00C15C9C" w:rsidRPr="00D01FA0" w:rsidRDefault="00C15C9C" w:rsidP="00122CBB">
      <w:pPr>
        <w:pStyle w:val="NormaleWeb"/>
        <w:shd w:val="clear" w:color="auto" w:fill="FFFFFF"/>
        <w:spacing w:before="0" w:beforeAutospacing="0"/>
        <w:jc w:val="both"/>
        <w:rPr>
          <w:b/>
        </w:rPr>
      </w:pPr>
      <w:r w:rsidRPr="00D01FA0">
        <w:rPr>
          <w:b/>
        </w:rPr>
        <w:t>PRESENTAZIONE DELLA DOMANDA</w:t>
      </w:r>
    </w:p>
    <w:p w:rsidR="00D1566B" w:rsidRDefault="00D1566B" w:rsidP="00D1566B">
      <w:pPr>
        <w:pStyle w:val="NormaleWeb"/>
        <w:shd w:val="clear" w:color="auto" w:fill="FFFFFF"/>
        <w:spacing w:before="0" w:beforeAutospacing="0"/>
        <w:jc w:val="both"/>
      </w:pPr>
      <w:r w:rsidRPr="00D01FA0">
        <w:rPr>
          <w:bCs/>
        </w:rPr>
        <w:t>La domanda in forma di autocertificazione</w:t>
      </w:r>
      <w:r w:rsidRPr="00D01FA0">
        <w:rPr>
          <w:b/>
          <w:bCs/>
        </w:rPr>
        <w:t> </w:t>
      </w:r>
      <w:r w:rsidRPr="00D01FA0">
        <w:t>ai sensi del DPR n. 445/2000, scaricabile a fondo pagina può essere presentata come segue:</w:t>
      </w:r>
    </w:p>
    <w:p w:rsidR="00950FAF" w:rsidRPr="007D0C80" w:rsidRDefault="00950FAF" w:rsidP="00950FAF">
      <w:pPr>
        <w:pStyle w:val="NormaleWeb"/>
        <w:numPr>
          <w:ilvl w:val="0"/>
          <w:numId w:val="3"/>
        </w:numPr>
        <w:shd w:val="clear" w:color="auto" w:fill="FFFFFF"/>
        <w:spacing w:before="0" w:beforeAutospacing="0"/>
        <w:jc w:val="both"/>
      </w:pPr>
      <w:r w:rsidRPr="007D0C80">
        <w:t>compilata, sottoscritta e trasmessa via e</w:t>
      </w:r>
      <w:r>
        <w:t>-</w:t>
      </w:r>
      <w:r w:rsidRPr="007D0C80">
        <w:t>mail allegando copia del documento di identità</w:t>
      </w:r>
      <w:r>
        <w:t xml:space="preserve"> a uno dei seguenti indirizzi</w:t>
      </w:r>
      <w:r w:rsidRPr="007D0C80">
        <w:t>: </w:t>
      </w:r>
      <w:r>
        <w:t xml:space="preserve"> </w:t>
      </w:r>
      <w:hyperlink r:id="rId7" w:history="1">
        <w:r w:rsidRPr="00EA731D">
          <w:rPr>
            <w:rStyle w:val="Collegamentoipertestuale"/>
          </w:rPr>
          <w:t>servizisociali@comune.besozzo.va.it</w:t>
        </w:r>
      </w:hyperlink>
      <w:r>
        <w:t xml:space="preserve"> oppure   </w:t>
      </w:r>
      <w:hyperlink r:id="rId8" w:history="1">
        <w:r w:rsidRPr="00EA731D">
          <w:rPr>
            <w:rStyle w:val="Collegamentoipertestuale"/>
          </w:rPr>
          <w:t>protocollo@comune.besozzo.va.it</w:t>
        </w:r>
      </w:hyperlink>
    </w:p>
    <w:p w:rsidR="009F077D" w:rsidRPr="00D01FA0" w:rsidRDefault="00122CBB" w:rsidP="00780B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A0">
        <w:rPr>
          <w:rFonts w:ascii="Times New Roman" w:hAnsi="Times New Roman" w:cs="Times New Roman"/>
          <w:b/>
          <w:sz w:val="24"/>
          <w:szCs w:val="24"/>
        </w:rPr>
        <w:lastRenderedPageBreak/>
        <w:t>ISTRUTTORIA</w:t>
      </w:r>
    </w:p>
    <w:p w:rsidR="009F077D" w:rsidRPr="00EA7C98" w:rsidRDefault="00EA7C98" w:rsidP="00780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gestione e la valutazione delle domande saranno effettuate dalle Assistenti Sociali ed il R</w:t>
      </w:r>
      <w:r w:rsidR="009F077D" w:rsidRPr="00EA7C98">
        <w:rPr>
          <w:rFonts w:ascii="Times New Roman" w:hAnsi="Times New Roman" w:cs="Times New Roman"/>
        </w:rPr>
        <w:t>esponsabile del procedimento cura l’istruttoria preliminare verificando:</w:t>
      </w:r>
    </w:p>
    <w:p w:rsidR="009F077D" w:rsidRPr="00EA7C98" w:rsidRDefault="009F077D" w:rsidP="00780B85">
      <w:pPr>
        <w:jc w:val="both"/>
        <w:rPr>
          <w:rFonts w:ascii="Times New Roman" w:hAnsi="Times New Roman" w:cs="Times New Roman"/>
        </w:rPr>
      </w:pPr>
      <w:r w:rsidRPr="00EA7C98">
        <w:rPr>
          <w:rFonts w:ascii="Times New Roman" w:hAnsi="Times New Roman" w:cs="Times New Roman"/>
        </w:rPr>
        <w:t>- il rispetto dei requisiti di ammissibilità dei beneficiari di cui al paragrafo Requisiti di</w:t>
      </w:r>
      <w:r w:rsidR="00D40891" w:rsidRPr="00EA7C98">
        <w:rPr>
          <w:rFonts w:ascii="Times New Roman" w:hAnsi="Times New Roman" w:cs="Times New Roman"/>
        </w:rPr>
        <w:t xml:space="preserve"> </w:t>
      </w:r>
      <w:r w:rsidRPr="00EA7C98">
        <w:rPr>
          <w:rFonts w:ascii="Times New Roman" w:hAnsi="Times New Roman" w:cs="Times New Roman"/>
        </w:rPr>
        <w:t>partecipazione;</w:t>
      </w:r>
    </w:p>
    <w:p w:rsidR="009F077D" w:rsidRPr="00EA7C98" w:rsidRDefault="009F077D" w:rsidP="00780B85">
      <w:pPr>
        <w:jc w:val="both"/>
        <w:rPr>
          <w:rFonts w:ascii="Times New Roman" w:hAnsi="Times New Roman" w:cs="Times New Roman"/>
        </w:rPr>
      </w:pPr>
      <w:r w:rsidRPr="00EA7C98">
        <w:rPr>
          <w:rFonts w:ascii="Times New Roman" w:hAnsi="Times New Roman" w:cs="Times New Roman"/>
        </w:rPr>
        <w:t>- la completezza della documentazione e la corretta com</w:t>
      </w:r>
      <w:r w:rsidR="00950FAF">
        <w:rPr>
          <w:rFonts w:ascii="Times New Roman" w:hAnsi="Times New Roman" w:cs="Times New Roman"/>
        </w:rPr>
        <w:t>pilazione della modulistica;</w:t>
      </w:r>
    </w:p>
    <w:p w:rsidR="00950FAF" w:rsidRDefault="00950FAF" w:rsidP="00780B85">
      <w:pPr>
        <w:jc w:val="both"/>
        <w:rPr>
          <w:rFonts w:ascii="Times New Roman" w:hAnsi="Times New Roman" w:cs="Times New Roman"/>
        </w:rPr>
      </w:pPr>
    </w:p>
    <w:p w:rsidR="00950FAF" w:rsidRPr="00D01FA0" w:rsidRDefault="00950FAF" w:rsidP="00950FAF">
      <w:pPr>
        <w:pStyle w:val="NormaleWeb"/>
        <w:shd w:val="clear" w:color="auto" w:fill="FFFFFF"/>
        <w:spacing w:before="0" w:beforeAutospacing="0"/>
        <w:jc w:val="both"/>
      </w:pPr>
      <w:r w:rsidRPr="00D01FA0">
        <w:t>Nello specifico</w:t>
      </w:r>
      <w:r>
        <w:t xml:space="preserve"> la valutazione e l’eventuale assegnazione dei buoni spesa avverrà come segue</w:t>
      </w:r>
      <w:r w:rsidRPr="00D01FA0">
        <w:t>:</w:t>
      </w:r>
    </w:p>
    <w:p w:rsidR="00950FAF" w:rsidRPr="00D01FA0" w:rsidRDefault="00950FAF" w:rsidP="00950FAF">
      <w:pPr>
        <w:pStyle w:val="NormaleWeb"/>
        <w:numPr>
          <w:ilvl w:val="0"/>
          <w:numId w:val="7"/>
        </w:numPr>
        <w:shd w:val="clear" w:color="auto" w:fill="FFFFFF"/>
        <w:spacing w:before="0" w:beforeAutospacing="0"/>
        <w:jc w:val="both"/>
      </w:pPr>
      <w:r w:rsidRPr="00D01FA0">
        <w:t xml:space="preserve">Verrà data </w:t>
      </w:r>
      <w:r w:rsidRPr="00D01FA0">
        <w:rPr>
          <w:b/>
          <w:u w:val="single"/>
        </w:rPr>
        <w:t>priorità</w:t>
      </w:r>
      <w:r w:rsidRPr="00D01FA0">
        <w:t xml:space="preserve"> alle domande presentate da cittadini/nuclei famigliari che si trovano in una condizione di riduzione della capacità economica a fronte della riduzione o perdita del lavoro come conseguenza diretta dell’emergenza epidemiologica e delle misure di contenimento adottate;</w:t>
      </w:r>
    </w:p>
    <w:p w:rsidR="00950FAF" w:rsidRPr="00D01FA0" w:rsidRDefault="00950FAF" w:rsidP="00950FAF">
      <w:pPr>
        <w:pStyle w:val="NormaleWeb"/>
        <w:numPr>
          <w:ilvl w:val="0"/>
          <w:numId w:val="7"/>
        </w:numPr>
        <w:shd w:val="clear" w:color="auto" w:fill="FFFFFF"/>
        <w:spacing w:before="0" w:beforeAutospacing="0"/>
        <w:jc w:val="both"/>
      </w:pPr>
      <w:r w:rsidRPr="00D01FA0">
        <w:t xml:space="preserve">Verranno inserite in </w:t>
      </w:r>
      <w:r w:rsidRPr="00D01FA0">
        <w:rPr>
          <w:b/>
          <w:u w:val="single"/>
        </w:rPr>
        <w:t>liste d’attesa</w:t>
      </w:r>
      <w:r w:rsidRPr="00D01FA0">
        <w:t>, e secondo l’ordine di arrivo, le domande presentate da cittadini/nuclei famigliari che si trovano in una delle seguenti condizioni:</w:t>
      </w:r>
    </w:p>
    <w:p w:rsidR="00950FAF" w:rsidRPr="00D01FA0" w:rsidRDefault="00950FAF" w:rsidP="00B15B6F">
      <w:pPr>
        <w:pStyle w:val="NormaleWeb"/>
        <w:numPr>
          <w:ilvl w:val="0"/>
          <w:numId w:val="9"/>
        </w:numPr>
        <w:shd w:val="clear" w:color="auto" w:fill="FFFFFF"/>
        <w:spacing w:before="0" w:beforeAutospacing="0"/>
        <w:jc w:val="both"/>
      </w:pPr>
      <w:r w:rsidRPr="00D01FA0">
        <w:t xml:space="preserve">Riduzione della capacità economica a fronte della riduzione o perdita del lavoro come conseguenza diretta dell’emergenza epidemiologica e delle misure di contenimento adottate ed assegnatari di altri sostegni pubblici (Reddito di Cittadinanza, Naspi, indennità di mobilità, cassa integrazione guadagni, altre forme di sostegno erogate a livello locale o regionale).                                                              </w:t>
      </w:r>
      <w:r>
        <w:t xml:space="preserve">                                                               </w:t>
      </w:r>
      <w:r w:rsidRPr="00D01FA0">
        <w:t>Le domande che rientrano in questa seconda categoria, verranno valutate SOLO dopo aver evaso le domande rispondenti al requisito principale (punto 1) e se saranno ancora disponibili buoni spesa;</w:t>
      </w:r>
    </w:p>
    <w:p w:rsidR="00950FAF" w:rsidRPr="00D01FA0" w:rsidRDefault="00950FAF" w:rsidP="00B15B6F">
      <w:pPr>
        <w:pStyle w:val="NormaleWeb"/>
        <w:numPr>
          <w:ilvl w:val="0"/>
          <w:numId w:val="9"/>
        </w:numPr>
        <w:shd w:val="clear" w:color="auto" w:fill="FFFFFF"/>
        <w:spacing w:before="0" w:beforeAutospacing="0"/>
        <w:jc w:val="both"/>
      </w:pPr>
      <w:r w:rsidRPr="00D01FA0">
        <w:t xml:space="preserve">Precedente disoccupazione di uno o più componenti del nucleo famigliare rispetto alla quale l’emergenza in essere non né rappresenta la causa ma un ulteriore ostacolo per la modifica della propria situazione.                                                            </w:t>
      </w:r>
      <w:r>
        <w:t xml:space="preserve">                                               </w:t>
      </w:r>
      <w:r w:rsidRPr="00D01FA0">
        <w:t>Le domande che rientrano in questa terza categoria (Fragilità), verranno valutate SOLO dopo aver evaso le domande rientranti nelle due precedenti categorie (Punto 1 e Punto 2A) e se saranno ancora disponibili buoni spesa.</w:t>
      </w:r>
    </w:p>
    <w:p w:rsidR="00950FAF" w:rsidRPr="00EA7C98" w:rsidRDefault="00950FAF" w:rsidP="00950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linea con la procedura valutativa sopra indicata, l’assegnazione dei buoni avverrà fino ad esaurimento delle risorse disponibili e </w:t>
      </w:r>
      <w:r w:rsidRPr="00EA7C98">
        <w:rPr>
          <w:rFonts w:ascii="Times New Roman" w:hAnsi="Times New Roman" w:cs="Times New Roman"/>
        </w:rPr>
        <w:t xml:space="preserve">l’eventuale esaurimento </w:t>
      </w:r>
      <w:r>
        <w:rPr>
          <w:rFonts w:ascii="Times New Roman" w:hAnsi="Times New Roman" w:cs="Times New Roman"/>
        </w:rPr>
        <w:t>dei buoni spesa</w:t>
      </w:r>
      <w:r w:rsidRPr="00EA7C98">
        <w:rPr>
          <w:rFonts w:ascii="Times New Roman" w:hAnsi="Times New Roman" w:cs="Times New Roman"/>
        </w:rPr>
        <w:t xml:space="preserve"> sarà comunicato ai potenziali aventi diritto</w:t>
      </w:r>
      <w:r>
        <w:rPr>
          <w:rFonts w:ascii="Times New Roman" w:hAnsi="Times New Roman" w:cs="Times New Roman"/>
        </w:rPr>
        <w:t>.</w:t>
      </w:r>
    </w:p>
    <w:p w:rsidR="00950FAF" w:rsidRDefault="00950FAF" w:rsidP="009F077D">
      <w:pPr>
        <w:rPr>
          <w:rFonts w:ascii="Times New Roman" w:hAnsi="Times New Roman" w:cs="Times New Roman"/>
        </w:rPr>
      </w:pPr>
    </w:p>
    <w:p w:rsidR="00B15B6F" w:rsidRDefault="00B15B6F" w:rsidP="009F077D">
      <w:pPr>
        <w:rPr>
          <w:rFonts w:ascii="Times New Roman" w:hAnsi="Times New Roman" w:cs="Times New Roman"/>
          <w:b/>
        </w:rPr>
      </w:pPr>
    </w:p>
    <w:p w:rsidR="00B15B6F" w:rsidRDefault="00B15B6F" w:rsidP="009F077D">
      <w:pPr>
        <w:rPr>
          <w:rFonts w:ascii="Times New Roman" w:hAnsi="Times New Roman" w:cs="Times New Roman"/>
          <w:b/>
        </w:rPr>
      </w:pPr>
    </w:p>
    <w:p w:rsidR="00B15B6F" w:rsidRDefault="00B15B6F" w:rsidP="009F077D">
      <w:pPr>
        <w:rPr>
          <w:rFonts w:ascii="Times New Roman" w:hAnsi="Times New Roman" w:cs="Times New Roman"/>
          <w:b/>
        </w:rPr>
      </w:pPr>
    </w:p>
    <w:p w:rsidR="00B15B6F" w:rsidRDefault="00B15B6F" w:rsidP="009F077D">
      <w:pPr>
        <w:rPr>
          <w:rFonts w:ascii="Times New Roman" w:hAnsi="Times New Roman" w:cs="Times New Roman"/>
          <w:b/>
        </w:rPr>
      </w:pPr>
    </w:p>
    <w:p w:rsidR="00B15B6F" w:rsidRDefault="00B15B6F" w:rsidP="009F077D">
      <w:pPr>
        <w:rPr>
          <w:rFonts w:ascii="Times New Roman" w:hAnsi="Times New Roman" w:cs="Times New Roman"/>
          <w:b/>
        </w:rPr>
      </w:pPr>
    </w:p>
    <w:p w:rsidR="00B15B6F" w:rsidRDefault="00B15B6F" w:rsidP="009F077D">
      <w:pPr>
        <w:rPr>
          <w:rFonts w:ascii="Times New Roman" w:hAnsi="Times New Roman" w:cs="Times New Roman"/>
          <w:b/>
        </w:rPr>
      </w:pPr>
    </w:p>
    <w:p w:rsidR="009F077D" w:rsidRPr="00EA7C98" w:rsidRDefault="00122CBB" w:rsidP="009F077D">
      <w:pPr>
        <w:rPr>
          <w:rFonts w:ascii="Times New Roman" w:hAnsi="Times New Roman" w:cs="Times New Roman"/>
          <w:b/>
        </w:rPr>
      </w:pPr>
      <w:r w:rsidRPr="00EA7C98">
        <w:rPr>
          <w:rFonts w:ascii="Times New Roman" w:hAnsi="Times New Roman" w:cs="Times New Roman"/>
          <w:b/>
        </w:rPr>
        <w:lastRenderedPageBreak/>
        <w:t>DETERMINAZIONE DELL’IMPORTO ASSEGNATO</w:t>
      </w:r>
    </w:p>
    <w:p w:rsidR="00F50134" w:rsidRPr="00EA7C98" w:rsidRDefault="00C73AB0" w:rsidP="009F077D">
      <w:pPr>
        <w:rPr>
          <w:rFonts w:ascii="Times New Roman" w:hAnsi="Times New Roman" w:cs="Times New Roman"/>
        </w:rPr>
      </w:pPr>
      <w:r w:rsidRPr="00EA7C98">
        <w:rPr>
          <w:rFonts w:ascii="Times New Roman" w:hAnsi="Times New Roman" w:cs="Times New Roman"/>
        </w:rPr>
        <w:t xml:space="preserve">L’ammontare del BUONO SPESA viene stabilito sul numero dei componenti del nucleo </w:t>
      </w:r>
      <w:r w:rsidR="0008233D" w:rsidRPr="00EA7C98">
        <w:rPr>
          <w:rFonts w:ascii="Times New Roman" w:hAnsi="Times New Roman" w:cs="Times New Roman"/>
        </w:rPr>
        <w:t>familiare, come indicato qui di seguito</w:t>
      </w:r>
      <w:r w:rsidR="00C34CDE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Look w:val="04A0"/>
      </w:tblPr>
      <w:tblGrid>
        <w:gridCol w:w="3003"/>
        <w:gridCol w:w="2563"/>
        <w:gridCol w:w="2031"/>
      </w:tblGrid>
      <w:tr w:rsidR="001E0691" w:rsidRPr="00EA7C98" w:rsidTr="001E0691">
        <w:tc>
          <w:tcPr>
            <w:tcW w:w="3003" w:type="dxa"/>
          </w:tcPr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NUMERO COMPONENTI NUCLEO</w:t>
            </w:r>
          </w:p>
        </w:tc>
        <w:tc>
          <w:tcPr>
            <w:tcW w:w="2563" w:type="dxa"/>
            <w:tcBorders>
              <w:bottom w:val="single" w:sz="4" w:space="0" w:color="auto"/>
              <w:right w:val="nil"/>
            </w:tcBorders>
          </w:tcPr>
          <w:p w:rsidR="001E0691" w:rsidRPr="00EA7C98" w:rsidRDefault="001E0691" w:rsidP="001E0691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BUONO SPESA</w:t>
            </w:r>
          </w:p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auto"/>
            </w:tcBorders>
          </w:tcPr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691" w:rsidRPr="00EA7C98" w:rsidTr="001E0691">
        <w:tc>
          <w:tcPr>
            <w:tcW w:w="3003" w:type="dxa"/>
          </w:tcPr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691" w:rsidRPr="00EA7C98" w:rsidRDefault="00122CBB" w:rsidP="00F50134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€ 100,00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691" w:rsidRPr="00EA7C98" w:rsidRDefault="001E0691" w:rsidP="0010476D">
            <w:pPr>
              <w:rPr>
                <w:rFonts w:ascii="Times New Roman" w:hAnsi="Times New Roman" w:cs="Times New Roman"/>
              </w:rPr>
            </w:pPr>
          </w:p>
        </w:tc>
      </w:tr>
      <w:tr w:rsidR="001E0691" w:rsidRPr="00EA7C98" w:rsidTr="001E0691">
        <w:tc>
          <w:tcPr>
            <w:tcW w:w="3003" w:type="dxa"/>
          </w:tcPr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691" w:rsidRPr="00EA7C98" w:rsidRDefault="00122CBB" w:rsidP="00F50134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€ 200,00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691" w:rsidRPr="00EA7C98" w:rsidTr="001E0691">
        <w:tc>
          <w:tcPr>
            <w:tcW w:w="3003" w:type="dxa"/>
          </w:tcPr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691" w:rsidRPr="00EA7C98" w:rsidRDefault="00122CBB" w:rsidP="00F50134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€ 300,00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691" w:rsidRPr="00EA7C98" w:rsidTr="001E0691">
        <w:tc>
          <w:tcPr>
            <w:tcW w:w="3003" w:type="dxa"/>
            <w:tcBorders>
              <w:bottom w:val="single" w:sz="4" w:space="0" w:color="auto"/>
            </w:tcBorders>
          </w:tcPr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691" w:rsidRPr="00EA7C98" w:rsidRDefault="00122CBB" w:rsidP="00F50134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€ 400,00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691" w:rsidRPr="00EA7C98" w:rsidTr="001E0691">
        <w:tc>
          <w:tcPr>
            <w:tcW w:w="3003" w:type="dxa"/>
            <w:tcBorders>
              <w:bottom w:val="single" w:sz="4" w:space="0" w:color="auto"/>
            </w:tcBorders>
          </w:tcPr>
          <w:p w:rsidR="001E0691" w:rsidRPr="00EA7C98" w:rsidRDefault="001E0691" w:rsidP="00F5013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691" w:rsidRPr="00EA7C98" w:rsidRDefault="00122CBB" w:rsidP="00F50134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€ 500,00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691" w:rsidRPr="00EA7C98" w:rsidTr="001E0691">
        <w:tc>
          <w:tcPr>
            <w:tcW w:w="3003" w:type="dxa"/>
            <w:tcBorders>
              <w:top w:val="single" w:sz="4" w:space="0" w:color="auto"/>
            </w:tcBorders>
          </w:tcPr>
          <w:p w:rsidR="001E0691" w:rsidRPr="00EA7C98" w:rsidRDefault="001E0691" w:rsidP="00F5013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6</w:t>
            </w:r>
            <w:r w:rsidR="00122CBB" w:rsidRPr="00EA7C98">
              <w:rPr>
                <w:rFonts w:ascii="Times New Roman" w:hAnsi="Times New Roman" w:cs="Times New Roman"/>
              </w:rPr>
              <w:t xml:space="preserve"> o più</w:t>
            </w:r>
          </w:p>
        </w:tc>
        <w:tc>
          <w:tcPr>
            <w:tcW w:w="2563" w:type="dxa"/>
            <w:tcBorders>
              <w:top w:val="single" w:sz="4" w:space="0" w:color="auto"/>
              <w:right w:val="nil"/>
            </w:tcBorders>
          </w:tcPr>
          <w:p w:rsidR="001E0691" w:rsidRPr="00EA7C98" w:rsidRDefault="00122CBB" w:rsidP="00F50134">
            <w:pPr>
              <w:jc w:val="center"/>
              <w:rPr>
                <w:rFonts w:ascii="Times New Roman" w:hAnsi="Times New Roman" w:cs="Times New Roman"/>
              </w:rPr>
            </w:pPr>
            <w:r w:rsidRPr="00EA7C98">
              <w:rPr>
                <w:rFonts w:ascii="Times New Roman" w:hAnsi="Times New Roman" w:cs="Times New Roman"/>
              </w:rPr>
              <w:t>€ 600,00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</w:tcBorders>
          </w:tcPr>
          <w:p w:rsidR="001E0691" w:rsidRPr="00EA7C98" w:rsidRDefault="001E0691" w:rsidP="00F50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6676" w:rsidRPr="00EA7C98" w:rsidRDefault="003F6676" w:rsidP="00A873E4">
      <w:pPr>
        <w:jc w:val="both"/>
        <w:rPr>
          <w:rFonts w:ascii="Times New Roman" w:hAnsi="Times New Roman" w:cs="Times New Roman"/>
          <w:bCs/>
        </w:rPr>
      </w:pPr>
    </w:p>
    <w:p w:rsidR="00122CBB" w:rsidRPr="00EA7C98" w:rsidRDefault="00122CBB" w:rsidP="00A873E4">
      <w:pPr>
        <w:jc w:val="both"/>
        <w:rPr>
          <w:rFonts w:ascii="Times New Roman" w:hAnsi="Times New Roman" w:cs="Times New Roman"/>
          <w:b/>
          <w:bCs/>
        </w:rPr>
      </w:pPr>
      <w:r w:rsidRPr="00EA7C98">
        <w:rPr>
          <w:rFonts w:ascii="Times New Roman" w:hAnsi="Times New Roman" w:cs="Times New Roman"/>
          <w:b/>
          <w:bCs/>
        </w:rPr>
        <w:t xml:space="preserve">REGOLE </w:t>
      </w:r>
      <w:proofErr w:type="spellStart"/>
      <w:r w:rsidRPr="00EA7C98">
        <w:rPr>
          <w:rFonts w:ascii="Times New Roman" w:hAnsi="Times New Roman" w:cs="Times New Roman"/>
          <w:b/>
          <w:bCs/>
        </w:rPr>
        <w:t>DI</w:t>
      </w:r>
      <w:proofErr w:type="spellEnd"/>
      <w:r w:rsidRPr="00EA7C98">
        <w:rPr>
          <w:rFonts w:ascii="Times New Roman" w:hAnsi="Times New Roman" w:cs="Times New Roman"/>
          <w:b/>
          <w:bCs/>
        </w:rPr>
        <w:t xml:space="preserve"> UTILIZZO DEL BUONO</w:t>
      </w:r>
    </w:p>
    <w:p w:rsidR="009F077D" w:rsidRPr="00EA7C98" w:rsidRDefault="009F077D" w:rsidP="00A873E4">
      <w:pPr>
        <w:jc w:val="both"/>
        <w:rPr>
          <w:rFonts w:ascii="Times New Roman" w:hAnsi="Times New Roman" w:cs="Times New Roman"/>
        </w:rPr>
      </w:pPr>
      <w:r w:rsidRPr="00EA7C98">
        <w:rPr>
          <w:rFonts w:ascii="Times New Roman" w:hAnsi="Times New Roman" w:cs="Times New Roman"/>
        </w:rPr>
        <w:t xml:space="preserve">Il Buono </w:t>
      </w:r>
      <w:r w:rsidR="002C2949" w:rsidRPr="00EA7C98">
        <w:rPr>
          <w:rFonts w:ascii="Times New Roman" w:hAnsi="Times New Roman" w:cs="Times New Roman"/>
        </w:rPr>
        <w:t>Spesa</w:t>
      </w:r>
      <w:r w:rsidRPr="00EA7C98">
        <w:rPr>
          <w:rFonts w:ascii="Times New Roman" w:hAnsi="Times New Roman" w:cs="Times New Roman"/>
        </w:rPr>
        <w:t xml:space="preserve"> costituisce un titolo che consente l’acquisto di beni </w:t>
      </w:r>
      <w:r w:rsidR="00950FAF">
        <w:rPr>
          <w:rFonts w:ascii="Times New Roman" w:hAnsi="Times New Roman" w:cs="Times New Roman"/>
        </w:rPr>
        <w:t xml:space="preserve">alimentari e </w:t>
      </w:r>
      <w:r w:rsidRPr="00EA7C98">
        <w:rPr>
          <w:rFonts w:ascii="Times New Roman" w:hAnsi="Times New Roman" w:cs="Times New Roman"/>
        </w:rPr>
        <w:t>di</w:t>
      </w:r>
      <w:r w:rsidR="002C2949" w:rsidRPr="00EA7C98">
        <w:rPr>
          <w:rFonts w:ascii="Times New Roman" w:hAnsi="Times New Roman" w:cs="Times New Roman"/>
        </w:rPr>
        <w:t xml:space="preserve"> </w:t>
      </w:r>
      <w:r w:rsidRPr="00EA7C98">
        <w:rPr>
          <w:rFonts w:ascii="Times New Roman" w:hAnsi="Times New Roman" w:cs="Times New Roman"/>
        </w:rPr>
        <w:t>prima necessità presso uno o più esercizi commerciali</w:t>
      </w:r>
      <w:r w:rsidR="002C2949" w:rsidRPr="00EA7C98">
        <w:rPr>
          <w:rFonts w:ascii="Times New Roman" w:hAnsi="Times New Roman" w:cs="Times New Roman"/>
        </w:rPr>
        <w:t xml:space="preserve"> pr</w:t>
      </w:r>
      <w:r w:rsidR="00122CBB" w:rsidRPr="00EA7C98">
        <w:rPr>
          <w:rFonts w:ascii="Times New Roman" w:hAnsi="Times New Roman" w:cs="Times New Roman"/>
        </w:rPr>
        <w:t xml:space="preserve">esenti sul territorio Comunale, </w:t>
      </w:r>
      <w:r w:rsidRPr="00EA7C98">
        <w:rPr>
          <w:rFonts w:ascii="Times New Roman" w:hAnsi="Times New Roman" w:cs="Times New Roman"/>
        </w:rPr>
        <w:t xml:space="preserve">individuati </w:t>
      </w:r>
      <w:r w:rsidR="00780B85" w:rsidRPr="00EA7C98">
        <w:rPr>
          <w:rFonts w:ascii="Times New Roman" w:hAnsi="Times New Roman" w:cs="Times New Roman"/>
        </w:rPr>
        <w:t>dai Servizi Sociali</w:t>
      </w:r>
      <w:r w:rsidRPr="00EA7C98">
        <w:rPr>
          <w:rFonts w:ascii="Times New Roman" w:hAnsi="Times New Roman" w:cs="Times New Roman"/>
        </w:rPr>
        <w:t>.</w:t>
      </w:r>
    </w:p>
    <w:p w:rsidR="009F077D" w:rsidRPr="00EA7C98" w:rsidRDefault="009F077D" w:rsidP="00A873E4">
      <w:pPr>
        <w:jc w:val="both"/>
        <w:rPr>
          <w:rFonts w:ascii="Times New Roman" w:hAnsi="Times New Roman" w:cs="Times New Roman"/>
        </w:rPr>
      </w:pPr>
      <w:r w:rsidRPr="00EA7C98">
        <w:rPr>
          <w:rFonts w:ascii="Times New Roman" w:hAnsi="Times New Roman" w:cs="Times New Roman"/>
        </w:rPr>
        <w:t xml:space="preserve">Il </w:t>
      </w:r>
      <w:r w:rsidR="002C2949" w:rsidRPr="00EA7C98">
        <w:rPr>
          <w:rFonts w:ascii="Times New Roman" w:hAnsi="Times New Roman" w:cs="Times New Roman"/>
        </w:rPr>
        <w:t>BUONO SPESA</w:t>
      </w:r>
      <w:r w:rsidRPr="00EA7C98">
        <w:rPr>
          <w:rFonts w:ascii="Times New Roman" w:hAnsi="Times New Roman" w:cs="Times New Roman"/>
        </w:rPr>
        <w:t xml:space="preserve"> finanzia l’acquisto di beni di prima necessità riconducibili ai seguenti ambiti:</w:t>
      </w:r>
    </w:p>
    <w:p w:rsidR="009F077D" w:rsidRPr="00EA7C98" w:rsidRDefault="009F077D" w:rsidP="00A873E4">
      <w:pPr>
        <w:jc w:val="both"/>
        <w:rPr>
          <w:rFonts w:ascii="Times New Roman" w:hAnsi="Times New Roman" w:cs="Times New Roman"/>
        </w:rPr>
      </w:pPr>
      <w:r w:rsidRPr="00EA7C98">
        <w:rPr>
          <w:rFonts w:ascii="Times New Roman" w:hAnsi="Times New Roman" w:cs="Times New Roman"/>
        </w:rPr>
        <w:t xml:space="preserve">- generi alimentari per il consumo umano, ad </w:t>
      </w:r>
      <w:bookmarkStart w:id="1" w:name="_GoBack"/>
      <w:r w:rsidRPr="002F4F67">
        <w:rPr>
          <w:rFonts w:ascii="Times New Roman" w:hAnsi="Times New Roman" w:cs="Times New Roman"/>
          <w:b/>
        </w:rPr>
        <w:t>esclusione di alcolici e superalcolici</w:t>
      </w:r>
      <w:bookmarkEnd w:id="1"/>
      <w:r w:rsidRPr="00EA7C98">
        <w:rPr>
          <w:rFonts w:ascii="Times New Roman" w:hAnsi="Times New Roman" w:cs="Times New Roman"/>
        </w:rPr>
        <w:t>;</w:t>
      </w:r>
    </w:p>
    <w:p w:rsidR="009F077D" w:rsidRPr="00EA7C98" w:rsidRDefault="009F077D" w:rsidP="00A873E4">
      <w:pPr>
        <w:jc w:val="both"/>
        <w:rPr>
          <w:rFonts w:ascii="Times New Roman" w:hAnsi="Times New Roman" w:cs="Times New Roman"/>
        </w:rPr>
      </w:pPr>
      <w:r w:rsidRPr="00EA7C98">
        <w:rPr>
          <w:rFonts w:ascii="Times New Roman" w:hAnsi="Times New Roman" w:cs="Times New Roman"/>
        </w:rPr>
        <w:t>- prodotti per l’igiene personale e la pulizia della casa;</w:t>
      </w:r>
    </w:p>
    <w:p w:rsidR="009F077D" w:rsidRPr="00EA7C98" w:rsidRDefault="009F077D" w:rsidP="00A873E4">
      <w:pPr>
        <w:jc w:val="both"/>
        <w:rPr>
          <w:rFonts w:ascii="Times New Roman" w:hAnsi="Times New Roman" w:cs="Times New Roman"/>
        </w:rPr>
      </w:pPr>
      <w:r w:rsidRPr="00EA7C98">
        <w:rPr>
          <w:rFonts w:ascii="Times New Roman" w:hAnsi="Times New Roman" w:cs="Times New Roman"/>
        </w:rPr>
        <w:t>- prodotti per la prima infanzia (pannolini, pappe ecc.);</w:t>
      </w:r>
    </w:p>
    <w:p w:rsidR="00A16972" w:rsidRPr="00EA7C98" w:rsidRDefault="002C2949" w:rsidP="00392F10">
      <w:pPr>
        <w:jc w:val="both"/>
        <w:rPr>
          <w:rFonts w:ascii="Times New Roman" w:hAnsi="Times New Roman" w:cs="Times New Roman"/>
          <w:u w:val="single"/>
        </w:rPr>
      </w:pPr>
      <w:r w:rsidRPr="00EA7C98">
        <w:rPr>
          <w:rFonts w:ascii="Times New Roman" w:hAnsi="Times New Roman" w:cs="Times New Roman"/>
          <w:u w:val="single"/>
        </w:rPr>
        <w:t xml:space="preserve">E’ VIETATO </w:t>
      </w:r>
      <w:r w:rsidR="009F077D" w:rsidRPr="00EA7C98">
        <w:rPr>
          <w:rFonts w:ascii="Times New Roman" w:hAnsi="Times New Roman" w:cs="Times New Roman"/>
          <w:u w:val="single"/>
        </w:rPr>
        <w:t xml:space="preserve">un improprio utilizzo del </w:t>
      </w:r>
      <w:r w:rsidRPr="00EA7C98">
        <w:rPr>
          <w:rFonts w:ascii="Times New Roman" w:hAnsi="Times New Roman" w:cs="Times New Roman"/>
          <w:u w:val="single"/>
        </w:rPr>
        <w:t>buono spesa</w:t>
      </w:r>
      <w:r w:rsidR="009F077D" w:rsidRPr="00EA7C98">
        <w:rPr>
          <w:rFonts w:ascii="Times New Roman" w:hAnsi="Times New Roman" w:cs="Times New Roman"/>
          <w:u w:val="single"/>
        </w:rPr>
        <w:t xml:space="preserve"> o la cessione a terzi dei beni acquistati con</w:t>
      </w:r>
      <w:r w:rsidRPr="00EA7C98">
        <w:rPr>
          <w:rFonts w:ascii="Times New Roman" w:hAnsi="Times New Roman" w:cs="Times New Roman"/>
          <w:u w:val="single"/>
        </w:rPr>
        <w:t xml:space="preserve"> </w:t>
      </w:r>
      <w:r w:rsidR="009F077D" w:rsidRPr="00EA7C98">
        <w:rPr>
          <w:rFonts w:ascii="Times New Roman" w:hAnsi="Times New Roman" w:cs="Times New Roman"/>
          <w:u w:val="single"/>
        </w:rPr>
        <w:t>il buono.</w:t>
      </w:r>
    </w:p>
    <w:p w:rsidR="00950FAF" w:rsidRPr="00950FAF" w:rsidRDefault="00950FAF" w:rsidP="00950FAF">
      <w:pPr>
        <w:jc w:val="both"/>
        <w:rPr>
          <w:rFonts w:ascii="Times New Roman" w:hAnsi="Times New Roman" w:cs="Times New Roman"/>
          <w:sz w:val="24"/>
          <w:szCs w:val="24"/>
        </w:rPr>
      </w:pPr>
      <w:r w:rsidRPr="00950FAF">
        <w:rPr>
          <w:rFonts w:ascii="Times New Roman" w:hAnsi="Times New Roman" w:cs="Times New Roman"/>
          <w:sz w:val="24"/>
          <w:szCs w:val="24"/>
        </w:rPr>
        <w:t>Il cittadino/nucleo famigliare a cui viene riconosciuto il buono spesa deve conservare gli scontrini delle spese effettuate, al fine di eventuali successivi controlli da parte dell’Ufficio Servizi Sociali.</w:t>
      </w:r>
    </w:p>
    <w:p w:rsidR="00950FAF" w:rsidRDefault="00950FAF" w:rsidP="009F077D">
      <w:pPr>
        <w:rPr>
          <w:rFonts w:ascii="Times New Roman" w:hAnsi="Times New Roman" w:cs="Times New Roman"/>
          <w:b/>
        </w:rPr>
      </w:pPr>
    </w:p>
    <w:p w:rsidR="009F077D" w:rsidRPr="00EA7C98" w:rsidRDefault="00122CBB" w:rsidP="009F077D">
      <w:pPr>
        <w:rPr>
          <w:rFonts w:ascii="Times New Roman" w:hAnsi="Times New Roman" w:cs="Times New Roman"/>
          <w:b/>
        </w:rPr>
      </w:pPr>
      <w:r w:rsidRPr="00EA7C98">
        <w:rPr>
          <w:rFonts w:ascii="Times New Roman" w:hAnsi="Times New Roman" w:cs="Times New Roman"/>
          <w:b/>
        </w:rPr>
        <w:t>INFORMAZIONI</w:t>
      </w:r>
    </w:p>
    <w:p w:rsidR="00950FAF" w:rsidRPr="00950FAF" w:rsidRDefault="00950FAF" w:rsidP="00950FAF">
      <w:pPr>
        <w:jc w:val="both"/>
        <w:rPr>
          <w:rFonts w:ascii="Times New Roman" w:hAnsi="Times New Roman" w:cs="Times New Roman"/>
          <w:sz w:val="24"/>
          <w:szCs w:val="24"/>
        </w:rPr>
      </w:pPr>
      <w:r w:rsidRPr="00950FAF">
        <w:rPr>
          <w:rFonts w:ascii="Times New Roman" w:hAnsi="Times New Roman" w:cs="Times New Roman"/>
          <w:sz w:val="24"/>
          <w:szCs w:val="24"/>
        </w:rPr>
        <w:t xml:space="preserve">Per qualsiasi chiarimento si può contattare anche l’Ufficio Servizi Sociali ai seguenti recapiti: 0332 970195 – interno 8, 375 5506023, 375 5506024 oppure via mail all’indirizzo </w:t>
      </w:r>
      <w:hyperlink r:id="rId9" w:history="1">
        <w:r w:rsidRPr="00950FAF">
          <w:rPr>
            <w:rStyle w:val="Collegamentoipertestuale"/>
            <w:rFonts w:ascii="Times New Roman" w:hAnsi="Times New Roman" w:cs="Times New Roman"/>
            <w:sz w:val="24"/>
            <w:szCs w:val="24"/>
          </w:rPr>
          <w:t>servizisociali@comune.besozzo.va.it</w:t>
        </w:r>
      </w:hyperlink>
      <w:r w:rsidRPr="00950FAF">
        <w:rPr>
          <w:rFonts w:ascii="Times New Roman" w:hAnsi="Times New Roman" w:cs="Times New Roman"/>
          <w:sz w:val="24"/>
          <w:szCs w:val="24"/>
        </w:rPr>
        <w:t>.</w:t>
      </w:r>
    </w:p>
    <w:p w:rsidR="00950FAF" w:rsidRPr="00EA7C98" w:rsidRDefault="00950FAF" w:rsidP="00950FAF">
      <w:pPr>
        <w:jc w:val="both"/>
        <w:rPr>
          <w:rFonts w:ascii="Times New Roman" w:hAnsi="Times New Roman" w:cs="Times New Roman"/>
        </w:rPr>
      </w:pPr>
    </w:p>
    <w:p w:rsidR="009F077D" w:rsidRPr="00EA7C98" w:rsidRDefault="009F077D" w:rsidP="00950FAF">
      <w:pPr>
        <w:jc w:val="both"/>
        <w:rPr>
          <w:rFonts w:ascii="Times New Roman" w:hAnsi="Times New Roman" w:cs="Times New Roman"/>
        </w:rPr>
      </w:pPr>
    </w:p>
    <w:sectPr w:rsidR="009F077D" w:rsidRPr="00EA7C98" w:rsidSect="003543A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A0" w:rsidRDefault="00D01FA0" w:rsidP="00EA7C98">
      <w:pPr>
        <w:spacing w:after="0" w:line="240" w:lineRule="auto"/>
      </w:pPr>
      <w:r>
        <w:separator/>
      </w:r>
    </w:p>
  </w:endnote>
  <w:endnote w:type="continuationSeparator" w:id="0">
    <w:p w:rsidR="00D01FA0" w:rsidRDefault="00D01FA0" w:rsidP="00E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A0" w:rsidRDefault="00D01FA0" w:rsidP="00EA7C98">
      <w:pPr>
        <w:spacing w:after="0" w:line="240" w:lineRule="auto"/>
      </w:pPr>
      <w:r>
        <w:separator/>
      </w:r>
    </w:p>
  </w:footnote>
  <w:footnote w:type="continuationSeparator" w:id="0">
    <w:p w:rsidR="00D01FA0" w:rsidRDefault="00D01FA0" w:rsidP="00E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61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10915"/>
    </w:tblGrid>
    <w:tr w:rsidR="00D01FA0" w:rsidTr="00EA7C98">
      <w:trPr>
        <w:trHeight w:val="1348"/>
      </w:trPr>
      <w:tc>
        <w:tcPr>
          <w:tcW w:w="1346" w:type="dxa"/>
        </w:tcPr>
        <w:p w:rsidR="00D01FA0" w:rsidRDefault="00D01FA0" w:rsidP="00EA7C98">
          <w:pPr>
            <w:rPr>
              <w:b/>
              <w:sz w:val="21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859155" cy="96266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96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</w:tcPr>
        <w:p w:rsidR="00D01FA0" w:rsidRPr="00EA7C98" w:rsidRDefault="00D01FA0" w:rsidP="00EA7C98">
          <w:pPr>
            <w:pStyle w:val="Titolo2"/>
            <w:ind w:left="2074"/>
            <w:rPr>
              <w:rFonts w:ascii="Arial" w:hAnsi="Arial"/>
              <w:bCs w:val="0"/>
              <w:i/>
              <w:color w:val="auto"/>
              <w:sz w:val="40"/>
              <w:lang w:eastAsia="it-IT"/>
            </w:rPr>
          </w:pPr>
          <w:r w:rsidRPr="00EA7C98">
            <w:rPr>
              <w:rFonts w:ascii="Arial" w:hAnsi="Arial"/>
              <w:bCs w:val="0"/>
              <w:i/>
              <w:color w:val="auto"/>
              <w:sz w:val="40"/>
              <w:lang w:eastAsia="it-IT"/>
            </w:rPr>
            <w:t>COMUNE DI BESOZZO</w:t>
          </w:r>
        </w:p>
        <w:p w:rsidR="00D01FA0" w:rsidRPr="00EA7C98" w:rsidRDefault="00D01FA0" w:rsidP="00EA7C98">
          <w:pPr>
            <w:pStyle w:val="Titolo1"/>
            <w:ind w:firstLine="2614"/>
            <w:rPr>
              <w:rFonts w:ascii="Arial" w:hAnsi="Arial" w:cs="Arial"/>
              <w:b/>
              <w:bCs/>
              <w:color w:val="auto"/>
              <w:sz w:val="22"/>
              <w:lang w:eastAsia="it-IT"/>
            </w:rPr>
          </w:pPr>
          <w:r w:rsidRPr="00EA7C98">
            <w:rPr>
              <w:rFonts w:ascii="Arial" w:hAnsi="Arial" w:cs="Arial"/>
              <w:b/>
              <w:bCs/>
              <w:color w:val="auto"/>
              <w:sz w:val="20"/>
              <w:lang w:eastAsia="it-IT"/>
            </w:rPr>
            <w:t xml:space="preserve">           </w:t>
          </w:r>
          <w:r w:rsidRPr="00EA7C98">
            <w:rPr>
              <w:rFonts w:ascii="Arial" w:hAnsi="Arial" w:cs="Arial"/>
              <w:b/>
              <w:bCs/>
              <w:color w:val="auto"/>
              <w:sz w:val="22"/>
              <w:lang w:eastAsia="it-IT"/>
            </w:rPr>
            <w:t>Provincia di Varese</w:t>
          </w:r>
        </w:p>
        <w:p w:rsidR="00D01FA0" w:rsidRDefault="00D01FA0" w:rsidP="00EA7C98">
          <w:pPr>
            <w:ind w:left="1174"/>
            <w:rPr>
              <w:rFonts w:ascii="Arial" w:hAnsi="Arial" w:cs="Arial"/>
              <w:sz w:val="18"/>
            </w:rPr>
          </w:pPr>
          <w:r w:rsidRPr="00EA7C98">
            <w:rPr>
              <w:rFonts w:ascii="Arial" w:hAnsi="Arial" w:cs="Arial"/>
              <w:sz w:val="18"/>
            </w:rPr>
            <w:t xml:space="preserve">                Via Mazzini n. 4 – Cod. </w:t>
          </w:r>
          <w:proofErr w:type="spellStart"/>
          <w:r w:rsidRPr="00EA7C98">
            <w:rPr>
              <w:rFonts w:ascii="Arial" w:hAnsi="Arial" w:cs="Arial"/>
              <w:sz w:val="18"/>
            </w:rPr>
            <w:t>Fisc</w:t>
          </w:r>
          <w:proofErr w:type="spellEnd"/>
          <w:r w:rsidRPr="00EA7C98">
            <w:rPr>
              <w:rFonts w:ascii="Arial" w:hAnsi="Arial" w:cs="Arial"/>
              <w:sz w:val="18"/>
            </w:rPr>
            <w:t>.  e P. IVA  00338010127</w:t>
          </w:r>
        </w:p>
      </w:tc>
    </w:tr>
  </w:tbl>
  <w:p w:rsidR="00D01FA0" w:rsidRDefault="00D01F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BDA"/>
    <w:multiLevelType w:val="hybridMultilevel"/>
    <w:tmpl w:val="2D34AB28"/>
    <w:lvl w:ilvl="0" w:tplc="74CAD4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28A"/>
    <w:multiLevelType w:val="hybridMultilevel"/>
    <w:tmpl w:val="51B4E99A"/>
    <w:lvl w:ilvl="0" w:tplc="CABE742A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B205B"/>
    <w:multiLevelType w:val="multilevel"/>
    <w:tmpl w:val="D8084FA8"/>
    <w:lvl w:ilvl="0">
      <w:start w:val="1"/>
      <w:numFmt w:val="decimal"/>
      <w:lvlText w:val="%1."/>
      <w:lvlJc w:val="left"/>
      <w:rPr>
        <w:rFonts w:ascii="Book Antiqua" w:hAnsi="Book Antiqua" w:cs="Times New Roman"/>
      </w:rPr>
    </w:lvl>
    <w:lvl w:ilvl="1">
      <w:start w:val="1"/>
      <w:numFmt w:val="decimal"/>
      <w:lvlText w:val="%2."/>
      <w:lvlJc w:val="left"/>
      <w:rPr>
        <w:rFonts w:ascii="Book Antiqua" w:hAnsi="Book Antiqua" w:cs="Times New Roman"/>
      </w:rPr>
    </w:lvl>
    <w:lvl w:ilvl="2">
      <w:start w:val="1"/>
      <w:numFmt w:val="decimal"/>
      <w:lvlText w:val="%3."/>
      <w:lvlJc w:val="left"/>
      <w:rPr>
        <w:rFonts w:ascii="Book Antiqua" w:hAnsi="Book Antiqua" w:cs="Times New Roman"/>
      </w:rPr>
    </w:lvl>
    <w:lvl w:ilvl="3">
      <w:start w:val="1"/>
      <w:numFmt w:val="decimal"/>
      <w:lvlText w:val="%4."/>
      <w:lvlJc w:val="left"/>
      <w:rPr>
        <w:rFonts w:ascii="Book Antiqua" w:hAnsi="Book Antiqua" w:cs="Times New Roman"/>
      </w:rPr>
    </w:lvl>
    <w:lvl w:ilvl="4">
      <w:start w:val="1"/>
      <w:numFmt w:val="decimal"/>
      <w:lvlText w:val="%5."/>
      <w:lvlJc w:val="left"/>
      <w:rPr>
        <w:rFonts w:ascii="Book Antiqua" w:hAnsi="Book Antiqua" w:cs="Times New Roman"/>
      </w:rPr>
    </w:lvl>
    <w:lvl w:ilvl="5">
      <w:start w:val="1"/>
      <w:numFmt w:val="decimal"/>
      <w:lvlText w:val="%6."/>
      <w:lvlJc w:val="left"/>
      <w:rPr>
        <w:rFonts w:ascii="Book Antiqua" w:hAnsi="Book Antiqua" w:cs="Times New Roman"/>
      </w:rPr>
    </w:lvl>
    <w:lvl w:ilvl="6">
      <w:start w:val="1"/>
      <w:numFmt w:val="decimal"/>
      <w:lvlText w:val="%7."/>
      <w:lvlJc w:val="left"/>
      <w:rPr>
        <w:rFonts w:ascii="Book Antiqua" w:hAnsi="Book Antiqua" w:cs="Times New Roman"/>
      </w:rPr>
    </w:lvl>
    <w:lvl w:ilvl="7">
      <w:start w:val="1"/>
      <w:numFmt w:val="decimal"/>
      <w:lvlText w:val="%8."/>
      <w:lvlJc w:val="left"/>
      <w:rPr>
        <w:rFonts w:ascii="Book Antiqua" w:hAnsi="Book Antiqua" w:cs="Times New Roman"/>
      </w:rPr>
    </w:lvl>
    <w:lvl w:ilvl="8">
      <w:start w:val="1"/>
      <w:numFmt w:val="decimal"/>
      <w:lvlText w:val="%9."/>
      <w:lvlJc w:val="left"/>
      <w:rPr>
        <w:rFonts w:ascii="Book Antiqua" w:hAnsi="Book Antiqua" w:cs="Times New Roman"/>
      </w:rPr>
    </w:lvl>
  </w:abstractNum>
  <w:abstractNum w:abstractNumId="3">
    <w:nsid w:val="2900142F"/>
    <w:multiLevelType w:val="hybridMultilevel"/>
    <w:tmpl w:val="51B4E99A"/>
    <w:lvl w:ilvl="0" w:tplc="CABE742A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56DAB"/>
    <w:multiLevelType w:val="hybridMultilevel"/>
    <w:tmpl w:val="318297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D87"/>
    <w:multiLevelType w:val="hybridMultilevel"/>
    <w:tmpl w:val="92A4448C"/>
    <w:lvl w:ilvl="0" w:tplc="C720CC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04390"/>
    <w:multiLevelType w:val="hybridMultilevel"/>
    <w:tmpl w:val="E9ECC778"/>
    <w:lvl w:ilvl="0" w:tplc="F5987C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3668E"/>
    <w:multiLevelType w:val="multilevel"/>
    <w:tmpl w:val="4BF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72212"/>
    <w:multiLevelType w:val="hybridMultilevel"/>
    <w:tmpl w:val="7F820544"/>
    <w:lvl w:ilvl="0" w:tplc="EF5C643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77D"/>
    <w:rsid w:val="000029A9"/>
    <w:rsid w:val="0008233D"/>
    <w:rsid w:val="000B3CDB"/>
    <w:rsid w:val="0010476D"/>
    <w:rsid w:val="00122CBB"/>
    <w:rsid w:val="001E0691"/>
    <w:rsid w:val="00201704"/>
    <w:rsid w:val="002531F6"/>
    <w:rsid w:val="00296D61"/>
    <w:rsid w:val="002C2949"/>
    <w:rsid w:val="002D5636"/>
    <w:rsid w:val="002F4F67"/>
    <w:rsid w:val="0031350D"/>
    <w:rsid w:val="0032101B"/>
    <w:rsid w:val="003543A6"/>
    <w:rsid w:val="00363FCB"/>
    <w:rsid w:val="00392F10"/>
    <w:rsid w:val="003A0CD4"/>
    <w:rsid w:val="003C5CA6"/>
    <w:rsid w:val="003F6676"/>
    <w:rsid w:val="003F7192"/>
    <w:rsid w:val="004B4210"/>
    <w:rsid w:val="004F5190"/>
    <w:rsid w:val="00505C37"/>
    <w:rsid w:val="00565800"/>
    <w:rsid w:val="0057423E"/>
    <w:rsid w:val="005A145A"/>
    <w:rsid w:val="005B29B2"/>
    <w:rsid w:val="005D35B5"/>
    <w:rsid w:val="005F1F09"/>
    <w:rsid w:val="005F3063"/>
    <w:rsid w:val="005F7379"/>
    <w:rsid w:val="006342ED"/>
    <w:rsid w:val="00640409"/>
    <w:rsid w:val="00644019"/>
    <w:rsid w:val="00780B85"/>
    <w:rsid w:val="007A754A"/>
    <w:rsid w:val="007B42DC"/>
    <w:rsid w:val="00830DFD"/>
    <w:rsid w:val="009475F8"/>
    <w:rsid w:val="00950FAF"/>
    <w:rsid w:val="00986A85"/>
    <w:rsid w:val="009C53EB"/>
    <w:rsid w:val="009F077D"/>
    <w:rsid w:val="00A16972"/>
    <w:rsid w:val="00A873E4"/>
    <w:rsid w:val="00AD0AAE"/>
    <w:rsid w:val="00AE1BA1"/>
    <w:rsid w:val="00B15B6F"/>
    <w:rsid w:val="00B36E7D"/>
    <w:rsid w:val="00BC0C67"/>
    <w:rsid w:val="00BF35D2"/>
    <w:rsid w:val="00C15C9C"/>
    <w:rsid w:val="00C34CDE"/>
    <w:rsid w:val="00C73AB0"/>
    <w:rsid w:val="00C8771C"/>
    <w:rsid w:val="00CB118E"/>
    <w:rsid w:val="00D01FA0"/>
    <w:rsid w:val="00D1566B"/>
    <w:rsid w:val="00D31EA5"/>
    <w:rsid w:val="00D34716"/>
    <w:rsid w:val="00D40891"/>
    <w:rsid w:val="00D629AA"/>
    <w:rsid w:val="00DF0BFA"/>
    <w:rsid w:val="00E01627"/>
    <w:rsid w:val="00E37838"/>
    <w:rsid w:val="00EA7C98"/>
    <w:rsid w:val="00EE555C"/>
    <w:rsid w:val="00F5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3A6"/>
  </w:style>
  <w:style w:type="paragraph" w:styleId="Titolo1">
    <w:name w:val="heading 1"/>
    <w:basedOn w:val="Normale"/>
    <w:next w:val="Normale"/>
    <w:link w:val="Titolo1Carattere"/>
    <w:uiPriority w:val="9"/>
    <w:qFormat/>
    <w:rsid w:val="003C5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7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5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C7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6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5800"/>
    <w:rPr>
      <w:b/>
      <w:bCs/>
    </w:rPr>
  </w:style>
  <w:style w:type="character" w:styleId="Collegamentoipertestuale">
    <w:name w:val="Hyperlink"/>
    <w:basedOn w:val="Carpredefinitoparagrafo"/>
    <w:rsid w:val="00D1566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7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7C98"/>
  </w:style>
  <w:style w:type="paragraph" w:styleId="Pidipagina">
    <w:name w:val="footer"/>
    <w:basedOn w:val="Normale"/>
    <w:link w:val="PidipaginaCarattere"/>
    <w:unhideWhenUsed/>
    <w:rsid w:val="00EA7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C9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7C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C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7C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besozzo.v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rvizisociali@comune.besozzo.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zisociali@comune.besozzo.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pozzi</dc:creator>
  <cp:keywords/>
  <dc:description/>
  <cp:lastModifiedBy>soc2</cp:lastModifiedBy>
  <cp:revision>49</cp:revision>
  <dcterms:created xsi:type="dcterms:W3CDTF">2020-03-30T09:02:00Z</dcterms:created>
  <dcterms:modified xsi:type="dcterms:W3CDTF">2021-03-29T08:10:00Z</dcterms:modified>
</cp:coreProperties>
</file>