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37"/>
        <w:gridCol w:w="2244"/>
        <w:gridCol w:w="2839"/>
        <w:gridCol w:w="1464"/>
        <w:gridCol w:w="2763"/>
        <w:gridCol w:w="2793"/>
      </w:tblGrid>
      <w:tr w:rsidR="00005BA3" w:rsidRPr="00652B1C" w:rsidTr="009822C3">
        <w:trPr>
          <w:tblCellSpacing w:w="0" w:type="dxa"/>
        </w:trPr>
        <w:tc>
          <w:tcPr>
            <w:tcW w:w="7020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FFC000"/>
          </w:tcPr>
          <w:p w:rsidR="00005BA3" w:rsidRPr="00C115EB" w:rsidRDefault="00005BA3" w:rsidP="009822C3">
            <w:pPr>
              <w:pageBreakBefore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AREA GENERALE 5</w:t>
            </w:r>
          </w:p>
          <w:p w:rsidR="00005BA3" w:rsidRPr="00C115EB" w:rsidRDefault="00005BA3" w:rsidP="009822C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  CONTROLLI E </w:t>
            </w:r>
            <w:r w:rsidRPr="00C115EB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SANZIONI </w:t>
            </w:r>
          </w:p>
        </w:tc>
        <w:tc>
          <w:tcPr>
            <w:tcW w:w="7020" w:type="dxa"/>
            <w:gridSpan w:val="3"/>
            <w:tcBorders>
              <w:top w:val="outset" w:sz="6" w:space="0" w:color="000000"/>
              <w:bottom w:val="outset" w:sz="6" w:space="0" w:color="000000"/>
            </w:tcBorders>
            <w:shd w:val="clear" w:color="auto" w:fill="FFC000"/>
          </w:tcPr>
          <w:p w:rsidR="00005BA3" w:rsidRPr="00C115EB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5BA3" w:rsidRPr="00652B1C" w:rsidTr="009822C3">
        <w:trPr>
          <w:tblCellSpacing w:w="0" w:type="dxa"/>
        </w:trPr>
        <w:tc>
          <w:tcPr>
            <w:tcW w:w="19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005BA3" w:rsidRPr="00C115EB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Processi e procedimenti rilevanti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005BA3" w:rsidRPr="00C115EB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Individuazione fattori di rischio</w:t>
            </w:r>
          </w:p>
        </w:tc>
        <w:tc>
          <w:tcPr>
            <w:tcW w:w="43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005BA3" w:rsidRPr="00C115EB" w:rsidRDefault="00005BA3" w:rsidP="009822C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Anomalie significative</w:t>
            </w:r>
          </w:p>
          <w:p w:rsidR="00005BA3" w:rsidRPr="00C115EB" w:rsidRDefault="00005BA3" w:rsidP="009822C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indicatori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005BA3" w:rsidRPr="00C115EB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Misure di prevenzione 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C000"/>
          </w:tcPr>
          <w:p w:rsidR="00005BA3" w:rsidRPr="00C115EB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Indicazioni per attuazione delle misure</w:t>
            </w:r>
          </w:p>
        </w:tc>
      </w:tr>
      <w:tr w:rsidR="00005BA3" w:rsidRPr="003607D1" w:rsidTr="009822C3">
        <w:trPr>
          <w:tblCellSpacing w:w="0" w:type="dxa"/>
        </w:trPr>
        <w:tc>
          <w:tcPr>
            <w:tcW w:w="19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607D1" w:rsidRDefault="00005BA3" w:rsidP="009822C3">
            <w:pPr>
              <w:spacing w:before="100" w:beforeAutospacing="1" w:after="119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Controlli </w:t>
            </w:r>
            <w:r w:rsidRPr="003607D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edilizi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e ambientali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07D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Omissione mirata di controlli </w:t>
            </w: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Mancata verifica delle segnalazioni</w:t>
            </w: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Falsa rappresentazione dello stato dei luoghi </w:t>
            </w:r>
          </w:p>
          <w:p w:rsidR="00005BA3" w:rsidRPr="003607D1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Mancata comunicazione agli organi competenti </w:t>
            </w:r>
          </w:p>
          <w:p w:rsidR="00005BA3" w:rsidRPr="003607D1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07D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Ingerenze </w:t>
            </w:r>
          </w:p>
        </w:tc>
        <w:tc>
          <w:tcPr>
            <w:tcW w:w="43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607D1" w:rsidRDefault="00005BA3" w:rsidP="009822C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07D1">
              <w:rPr>
                <w:rFonts w:ascii="Times New Roman" w:hAnsi="Times New Roman"/>
                <w:sz w:val="24"/>
                <w:szCs w:val="24"/>
                <w:lang w:eastAsia="it-IT"/>
              </w:rPr>
              <w:t>Assenza di segnalazioni durante l’anno</w:t>
            </w:r>
          </w:p>
          <w:p w:rsidR="00005BA3" w:rsidRPr="003607D1" w:rsidRDefault="00005BA3" w:rsidP="009822C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005BA3" w:rsidRPr="003607D1" w:rsidRDefault="00005BA3" w:rsidP="009822C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</w:t>
            </w:r>
            <w:r w:rsidRPr="003607D1">
              <w:rPr>
                <w:rFonts w:ascii="Times New Roman" w:hAnsi="Times New Roman"/>
                <w:sz w:val="24"/>
                <w:szCs w:val="24"/>
                <w:lang w:eastAsia="it-IT"/>
              </w:rPr>
              <w:t>imitato numero di  concessioni rilasciate rispetto alla media annuale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607D1">
              <w:rPr>
                <w:rFonts w:ascii="Times New Roman" w:hAnsi="Times New Roman"/>
                <w:sz w:val="24"/>
                <w:szCs w:val="24"/>
                <w:lang w:eastAsia="it-IT"/>
              </w:rPr>
              <w:t>Obbligo di verifica delle segnalazioni, anche anonime, da definire entro determinati limiti temporali</w:t>
            </w: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Disposizioni da dare agli uffici per sovralluoghi da effettuarsi con periodicità predeterminata </w:t>
            </w: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Puntuale motivazione dei casi di archiviazione</w:t>
            </w: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005BA3" w:rsidRPr="003607D1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Sovralluoghi e verbali congiunti da parte dell’ufficio tecnico e della polizia locale 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Relazione mensile al Segretario comunale anche se negativa.</w:t>
            </w: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Trasmissione di tutti i verbali al RPTC</w:t>
            </w:r>
          </w:p>
          <w:p w:rsidR="00005BA3" w:rsidRPr="003607D1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005BA3" w:rsidRPr="00652B1C" w:rsidTr="009822C3">
        <w:trPr>
          <w:trHeight w:val="1140"/>
          <w:tblCellSpacing w:w="0" w:type="dxa"/>
        </w:trPr>
        <w:tc>
          <w:tcPr>
            <w:tcW w:w="19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lastRenderedPageBreak/>
              <w:t xml:space="preserve">Controlli ,verifiche e ispezioni d'ufficio o su segnalazione dei cittadini </w:t>
            </w:r>
          </w:p>
          <w:p w:rsidR="00005BA3" w:rsidRPr="00C115EB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 Violazioni  codice della strada e leggi di pubblica sicurezza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Omissione mirata di controlli </w:t>
            </w:r>
          </w:p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inefficacia delle segnalazioni per assenza di elementi specifici</w:t>
            </w:r>
          </w:p>
          <w:p w:rsidR="00005BA3" w:rsidRPr="002B49F6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B49F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Pressioni </w:t>
            </w:r>
          </w:p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ritorsioni </w:t>
            </w:r>
          </w:p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condizionamenti </w:t>
            </w:r>
          </w:p>
        </w:tc>
        <w:tc>
          <w:tcPr>
            <w:tcW w:w="43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198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Casi di disparità di trattamento </w:t>
            </w:r>
          </w:p>
          <w:p w:rsidR="00005BA3" w:rsidRPr="00351279" w:rsidRDefault="00005BA3" w:rsidP="009822C3">
            <w:pPr>
              <w:spacing w:before="100" w:beforeAutospacing="1" w:after="198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segnalazioni mirate a creare disservizi </w:t>
            </w:r>
          </w:p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Presenza di solleciti per richieste inevase</w:t>
            </w:r>
          </w:p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presenza di segnalazioni anonime </w:t>
            </w:r>
          </w:p>
          <w:p w:rsidR="00005BA3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irregolare redazione dei verbali </w:t>
            </w:r>
          </w:p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notifiche fuori termine 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Valutazione </w:t>
            </w: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 segnalazioni anche se pervenute in forma anonima </w:t>
            </w:r>
          </w:p>
          <w:p w:rsidR="00005BA3" w:rsidRPr="00351279" w:rsidRDefault="00005BA3" w:rsidP="009822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Standardizzazione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delle pr</w:t>
            </w:r>
            <w:r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ocedure 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Prevedere uno schema di segnalazione da pubblicare nel sito contenente i dati essenziali che deve contenere per potersi procedere</w:t>
            </w:r>
          </w:p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</w:p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Relazione annual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e sull’andamento delle contestazioni e sul rispetto dei termini</w:t>
            </w:r>
          </w:p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5BA3" w:rsidRPr="00652B1C" w:rsidTr="009822C3">
        <w:trPr>
          <w:tblCellSpacing w:w="0" w:type="dxa"/>
        </w:trPr>
        <w:tc>
          <w:tcPr>
            <w:tcW w:w="193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C115EB" w:rsidRDefault="00005BA3" w:rsidP="009822C3">
            <w:pPr>
              <w:spacing w:before="100" w:beforeAutospacing="1" w:after="0" w:line="240" w:lineRule="auto"/>
              <w:ind w:left="13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Sanzioni amministrative </w:t>
            </w:r>
          </w:p>
          <w:p w:rsidR="00005BA3" w:rsidRPr="00C115EB" w:rsidRDefault="00005BA3" w:rsidP="009822C3">
            <w:pPr>
              <w:spacing w:before="100" w:beforeAutospacing="1" w:after="119" w:line="240" w:lineRule="auto"/>
              <w:ind w:left="13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115EB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per violazione regolamenti e ordinanze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Omissione mirata di controlli </w:t>
            </w:r>
          </w:p>
        </w:tc>
        <w:tc>
          <w:tcPr>
            <w:tcW w:w="43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 xml:space="preserve">Mancanza di uniformità nei provvedimenti sanzionatori </w:t>
            </w:r>
          </w:p>
          <w:p w:rsidR="00005BA3" w:rsidRPr="00351279" w:rsidRDefault="00005BA3" w:rsidP="009822C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Presenza di contestazioni</w:t>
            </w:r>
          </w:p>
        </w:tc>
        <w:tc>
          <w:tcPr>
            <w:tcW w:w="2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Standardizzazione delle procedure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5BA3" w:rsidRPr="00351279" w:rsidRDefault="00005BA3" w:rsidP="009822C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5127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Adozione di regolamentazione </w:t>
            </w:r>
          </w:p>
        </w:tc>
      </w:tr>
    </w:tbl>
    <w:p w:rsidR="00005BA3" w:rsidRDefault="00005BA3" w:rsidP="00005BA3"/>
    <w:p w:rsidR="00CA69D9" w:rsidRDefault="00CA69D9"/>
    <w:sectPr w:rsidR="00CA69D9" w:rsidSect="00C115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3"/>
    <w:rsid w:val="00005BA3"/>
    <w:rsid w:val="00CA69D9"/>
    <w:rsid w:val="00D7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6F32E-D583-494E-9F81-6BE46A54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B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2019-01-29T17:28:00Z</dcterms:created>
  <dcterms:modified xsi:type="dcterms:W3CDTF">2019-01-29T17:28:00Z</dcterms:modified>
</cp:coreProperties>
</file>