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5"/>
        <w:gridCol w:w="1966"/>
        <w:gridCol w:w="1831"/>
        <w:gridCol w:w="2485"/>
        <w:gridCol w:w="2750"/>
        <w:gridCol w:w="2793"/>
      </w:tblGrid>
      <w:tr w:rsidR="00C31108" w:rsidTr="00C31108">
        <w:tc>
          <w:tcPr>
            <w:tcW w:w="140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CC2E5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1108" w:rsidRDefault="00C31108">
            <w:pPr>
              <w:spacing w:before="100" w:after="0" w:line="240" w:lineRule="auto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AREA GENERALE  7</w:t>
            </w:r>
          </w:p>
          <w:p w:rsidR="00C31108" w:rsidRDefault="00C31108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C31108" w:rsidRDefault="00C31108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AFFARI LEGALI E CONTENZIOSO</w:t>
            </w: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C31108" w:rsidTr="00C31108">
        <w:trPr>
          <w:trHeight w:val="1273"/>
        </w:trPr>
        <w:tc>
          <w:tcPr>
            <w:tcW w:w="2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108" w:rsidRDefault="00C31108">
            <w:pPr>
              <w:spacing w:before="100" w:after="119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 xml:space="preserve">Processi e procedimenti rilevanti 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108" w:rsidRDefault="00C31108">
            <w:pPr>
              <w:spacing w:before="100" w:after="119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Individuazione fattori di rischio</w:t>
            </w: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108" w:rsidRDefault="00C31108">
            <w:pPr>
              <w:spacing w:before="100" w:after="119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Anomalie significative</w:t>
            </w:r>
          </w:p>
        </w:tc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108" w:rsidRDefault="00C31108">
            <w:pPr>
              <w:spacing w:before="100" w:after="119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indicatori</w:t>
            </w:r>
            <w:proofErr w:type="gramEnd"/>
          </w:p>
        </w:tc>
        <w:tc>
          <w:tcPr>
            <w:tcW w:w="2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108" w:rsidRDefault="00C31108">
            <w:pPr>
              <w:spacing w:before="100" w:after="119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 xml:space="preserve">Misure di prevenzione </w:t>
            </w:r>
          </w:p>
        </w:tc>
        <w:tc>
          <w:tcPr>
            <w:tcW w:w="2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108" w:rsidRDefault="00C31108">
            <w:pPr>
              <w:spacing w:before="100" w:after="119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it-IT"/>
              </w:rPr>
              <w:t>Indicazioni per attuazione delle misure</w:t>
            </w:r>
          </w:p>
        </w:tc>
      </w:tr>
      <w:tr w:rsidR="00C31108" w:rsidTr="00C31108">
        <w:tc>
          <w:tcPr>
            <w:tcW w:w="2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108" w:rsidRDefault="00C31108">
            <w:pPr>
              <w:spacing w:before="100" w:after="119" w:line="240" w:lineRule="auto"/>
              <w:ind w:left="136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 xml:space="preserve">Attività extragiudiziale </w:t>
            </w:r>
          </w:p>
          <w:p w:rsidR="00C31108" w:rsidRDefault="00C31108">
            <w:pPr>
              <w:spacing w:before="100" w:after="119" w:line="240" w:lineRule="auto"/>
              <w:ind w:left="136"/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it-IT"/>
              </w:rPr>
              <w:t>Incarichi di consulenza legale (supporto giuridico e pareri)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Eccessivo ricorso a consulenze legali senza reali necessità</w:t>
            </w: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Favoritismi </w:t>
            </w: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Assenza di procedure comparative </w:t>
            </w: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Arbitrario ricorso a forme di appalto di servizi legali per incarichi che si sostanziano in resa di un parere o di una consulenza </w:t>
            </w: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Argomentazioni generiche in ordine alle esigenze da perseguire</w:t>
            </w: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108" w:rsidRDefault="00C31108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Numero di incarichi conferiti in rapporto alla conclusione dei procedimenti per la definizione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dei  quali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sono stati richiesti</w:t>
            </w:r>
          </w:p>
        </w:tc>
        <w:tc>
          <w:tcPr>
            <w:tcW w:w="2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Analitica e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motivata  verifica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dei presupposti </w:t>
            </w: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Redazione disciplinari tipo</w:t>
            </w: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Osservanza regole di garanzia e imparzialità</w:t>
            </w: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Adozione di procedure comparative </w:t>
            </w: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2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1108" w:rsidRDefault="00C31108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Affidamento secondo il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DLgs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n. 50/2016 e le linee guida ANAC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n. 12 (delibera n. 907 del 24 ottobre 2018)</w:t>
            </w: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Controlli successivi  </w:t>
            </w: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Rotazione degli incarichi </w:t>
            </w:r>
          </w:p>
        </w:tc>
      </w:tr>
      <w:tr w:rsidR="00C31108" w:rsidTr="00C31108">
        <w:trPr>
          <w:trHeight w:val="1140"/>
        </w:trPr>
        <w:tc>
          <w:tcPr>
            <w:tcW w:w="2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Incarichi di patrocinio legale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Generazione incontrollata di debiti fuori bilancio </w:t>
            </w: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Favoritismi</w:t>
            </w: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Argomentazioni generiche in ordine alle esigenze</w:t>
            </w: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1108" w:rsidRDefault="00C31108">
            <w:pPr>
              <w:spacing w:before="100" w:after="119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Rapporto tra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numero  di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incarichi conferiti e cause vittoriose</w:t>
            </w:r>
          </w:p>
        </w:tc>
        <w:tc>
          <w:tcPr>
            <w:tcW w:w="2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Verifica dei presupposti di legge per l’assunzione del patrocinio nei confronti di dipendenti che amministratori</w:t>
            </w: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Chiara esplicitazione delle ragioni nel provvedimento amministrativo </w:t>
            </w: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Acquisizione curriculum e preventivo </w:t>
            </w: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Verifica competenze nella materia oggetto dell’incarico</w:t>
            </w: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31108" w:rsidRDefault="00C31108">
            <w:pPr>
              <w:suppressAutoHyphens w:val="0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lastRenderedPageBreak/>
              <w:t xml:space="preserve">Affidamento secondo il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DLgs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n. 50/2016 e le linee guida ANAC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n. 12 (delibera n. 907 del 24 ottobre 2018)</w:t>
            </w: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Istituzione albi entro il 2019</w:t>
            </w: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Predisposizione di disciplinare di incarico tipo </w:t>
            </w: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lastRenderedPageBreak/>
              <w:t>Rotazione degli incarichi</w:t>
            </w:r>
          </w:p>
          <w:p w:rsidR="00C31108" w:rsidRDefault="00C31108">
            <w:pPr>
              <w:spacing w:before="100" w:after="119" w:line="240" w:lineRule="auto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Creazione, per ogni Settore, di un registro dei contenziosi non definiti e costante aggiornamento al fine di monitorare costantemente le spese </w:t>
            </w:r>
          </w:p>
          <w:p w:rsidR="00C31108" w:rsidRDefault="00C31108">
            <w:pPr>
              <w:spacing w:before="100" w:after="119" w:line="240" w:lineRule="auto"/>
            </w:pPr>
          </w:p>
        </w:tc>
      </w:tr>
    </w:tbl>
    <w:p w:rsidR="00C31108" w:rsidRDefault="00C31108" w:rsidP="00C31108"/>
    <w:p w:rsidR="00C31108" w:rsidRDefault="00C31108" w:rsidP="00C31108"/>
    <w:p w:rsidR="00843608" w:rsidRDefault="00843608"/>
    <w:sectPr w:rsidR="00843608" w:rsidSect="00C3110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08"/>
    <w:rsid w:val="00843608"/>
    <w:rsid w:val="00C31108"/>
    <w:rsid w:val="00D0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32896-C067-43DA-B213-6F81188D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1108"/>
    <w:pPr>
      <w:suppressAutoHyphens/>
      <w:autoSpaceDN w:val="0"/>
      <w:spacing w:after="160" w:line="24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Baule</dc:creator>
  <cp:lastModifiedBy>Paolo Orecchioni</cp:lastModifiedBy>
  <cp:revision>2</cp:revision>
  <dcterms:created xsi:type="dcterms:W3CDTF">2019-01-29T17:29:00Z</dcterms:created>
  <dcterms:modified xsi:type="dcterms:W3CDTF">2019-01-29T17:29:00Z</dcterms:modified>
</cp:coreProperties>
</file>