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DF" w:rsidRPr="004E049B" w:rsidRDefault="00D91787" w:rsidP="004E049B">
      <w:pPr>
        <w:jc w:val="both"/>
        <w:rPr>
          <w:rFonts w:cstheme="minorHAnsi"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</w:rPr>
        <w:t>BANDO DI GARA CON PROCEDURA APERTA PER L’AFFIDAMENTO IN CONCESSIONE</w:t>
      </w:r>
      <w:r w:rsidRPr="004E049B">
        <w:rPr>
          <w:rFonts w:cstheme="minorHAnsi"/>
          <w:b/>
          <w:bCs/>
        </w:rPr>
        <w:t xml:space="preserve"> DEL SERVIZIO DI TESORERIA E CASSA DEL COMUNE DI CANNARA (PG). PERIODO 01.01.2017-31.12.2021 - CIG N° </w:t>
      </w:r>
      <w:r w:rsidR="00A636BF">
        <w:rPr>
          <w:rFonts w:cstheme="minorHAnsi"/>
          <w:b/>
          <w:bCs/>
        </w:rPr>
        <w:t>Z7E1B74D5F</w:t>
      </w:r>
      <w:r w:rsidR="008F7447">
        <w:rPr>
          <w:rFonts w:cstheme="minorHAnsi"/>
          <w:b/>
          <w:bCs/>
        </w:rPr>
        <w:t>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Amministrazione aggiudicatrice: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Comune di Cannara, Piazza Valter </w:t>
      </w:r>
      <w:proofErr w:type="spellStart"/>
      <w:r w:rsidRPr="004E049B">
        <w:rPr>
          <w:rFonts w:cstheme="minorHAnsi"/>
        </w:rPr>
        <w:t>Baldaccini</w:t>
      </w:r>
      <w:proofErr w:type="spellEnd"/>
      <w:r w:rsidRPr="004E049B">
        <w:rPr>
          <w:rFonts w:cstheme="minorHAnsi"/>
        </w:rPr>
        <w:t xml:space="preserve"> n. 2 - 06033 Cannara (Perugia)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Tel. 0742/731811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Fax. 0742/ 731824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Sito internet www.comune.cannara.pg.it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Indirizzo e-mail ragioneria@comune.cannara.pg.it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PEC comune.cannara@postacert.umbria.it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Ai sensi dell’art. 4 Legge n. 241/1990 l’unità organizzativa responsabile del procedimento è il Settore Economico-Finanziario - Servizio Ragioneria.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Responsabile del procedimento è il Responsabile del Settore Economico-Finanziario, Dott. Stefano </w:t>
      </w:r>
      <w:proofErr w:type="spellStart"/>
      <w:r w:rsidRPr="004E049B">
        <w:rPr>
          <w:rFonts w:cstheme="minorHAnsi"/>
        </w:rPr>
        <w:t>Minni</w:t>
      </w:r>
      <w:proofErr w:type="spellEnd"/>
      <w:r w:rsidRPr="004E049B">
        <w:rPr>
          <w:rFonts w:cstheme="minorHAnsi"/>
        </w:rPr>
        <w:t>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Determina dirigenziale a contrarre n.</w:t>
      </w:r>
      <w:r w:rsidR="00F26A48">
        <w:rPr>
          <w:rFonts w:cstheme="minorHAnsi"/>
        </w:rPr>
        <w:t xml:space="preserve"> 287</w:t>
      </w:r>
      <w:r w:rsidRPr="004E049B">
        <w:rPr>
          <w:rFonts w:cstheme="minorHAnsi"/>
        </w:rPr>
        <w:t xml:space="preserve"> del </w:t>
      </w:r>
      <w:r w:rsidR="00F26A48">
        <w:rPr>
          <w:rFonts w:cstheme="minorHAnsi"/>
        </w:rPr>
        <w:t>30/11/2016</w:t>
      </w:r>
      <w:r w:rsidRPr="004E049B">
        <w:rPr>
          <w:rFonts w:cstheme="minorHAnsi"/>
        </w:rPr>
        <w:t>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Accesso alla documentazione relativa alla gara: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Il presente Bando, il Disciplinare di Gara con i relativi allegati e la Convenzione sono disponibili e scaricabili dal sito internet dell’ente: </w:t>
      </w:r>
      <w:r w:rsidRPr="004E049B">
        <w:rPr>
          <w:rFonts w:cstheme="minorHAnsi"/>
          <w:b/>
          <w:bCs/>
        </w:rPr>
        <w:t>www.comune.cannara.pg.it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Eventuali ulteriori informazioni potranno essere richieste, in lingua italiana, al Comune di Cannara (PG).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Oggetto dell’appalto: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Affidamento in concessione del servizio di tesoreria e cassa del Comune di Cannara per il periodo dal 01.01.2017 al 31.12.2021. 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Categoria di servizio: Servizi finanziari, consistenti nel complesso di operazioni inerenti la gestione finanziaria dell’Ente e, in particolare, la riscossione delle entrate, il pagamento delle spese facenti capo all’Ente medesimo e dallo stesso ordinate, nonché l’amministrazione di titoli e valori, secondo le norme vigenti in materia.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Codice identificativo di gara (CIG):</w:t>
      </w:r>
      <w:r w:rsidR="008F7447">
        <w:rPr>
          <w:rFonts w:cstheme="minorHAnsi"/>
        </w:rPr>
        <w:t xml:space="preserve"> </w:t>
      </w:r>
      <w:r w:rsidR="00A636BF">
        <w:rPr>
          <w:rFonts w:cstheme="minorHAnsi"/>
          <w:b/>
          <w:bCs/>
        </w:rPr>
        <w:t>Z7E1B74D5F</w:t>
      </w:r>
      <w:r w:rsidR="008F7447">
        <w:rPr>
          <w:rFonts w:cstheme="minorHAnsi"/>
        </w:rPr>
        <w:t>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Il servizio di tesoreria comunale dovrà essere svolto, inoltre, secondo le modalità contenute nel presente bando, nel disciplinare di gara e nello schema di convenzione approvato con deliberazione del Consiglio Comunale n. </w:t>
      </w:r>
      <w:r w:rsidR="00F26A48">
        <w:rPr>
          <w:rFonts w:cstheme="minorHAnsi"/>
        </w:rPr>
        <w:t>50</w:t>
      </w:r>
      <w:r w:rsidRPr="004E049B">
        <w:rPr>
          <w:rFonts w:cstheme="minorHAnsi"/>
        </w:rPr>
        <w:t xml:space="preserve"> del </w:t>
      </w:r>
      <w:r w:rsidR="00F26A48">
        <w:rPr>
          <w:rFonts w:cstheme="minorHAnsi"/>
        </w:rPr>
        <w:t>29/11/2016</w:t>
      </w:r>
      <w:r w:rsidRPr="004E049B">
        <w:rPr>
          <w:rFonts w:cstheme="minorHAnsi"/>
        </w:rPr>
        <w:t>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Durata del contratto: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Il contratto avrà durata di anni 5 (cinque), rinnovabili di un ugual periodo, decorrenti dal 01.01.2017 e fino al 31.12.2021, indipendentemente dalla data di formale stipulazione del contratto.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lastRenderedPageBreak/>
        <w:t>E’ fatto obbligo all’aggiudicatario di proseguire il servizio affidato, alle medesime condizioni, anche dopo la scadenza della convenzione, nell’arco temporale intercorrente fra la predetta scadenza e l’inizio del servizio con il nuovo contraente e, comunque, per un periodo massimo di mesi sei dall’anzidetta scadenza.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Procedura e criteri di aggiudicazione: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La gara avrà luogo mediante procedura aperta e sarà aggiudicata utilizzando il criterio dell’offerta economicamente più vantaggiosa, ai sensi dell’art. 95 del </w:t>
      </w:r>
      <w:r w:rsidR="008F7447" w:rsidRPr="004E049B">
        <w:rPr>
          <w:rFonts w:cstheme="minorHAnsi"/>
        </w:rPr>
        <w:t>D.lgs.</w:t>
      </w:r>
      <w:r w:rsidRPr="004E049B">
        <w:rPr>
          <w:rFonts w:cstheme="minorHAnsi"/>
        </w:rPr>
        <w:t xml:space="preserve"> 50/2016, con il punteggio complessivo massimo di 100 (cento) punti, sulla base dei seguenti elementi unitari: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- Elemento Tecnico: fino a 80 punti;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- Elemento Economico: fino a 20 punti.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Varianti , offerte parziali, suddivisioni in lotti: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Non sono ammesse varianti delle offerte, né offerte parziali e/o condizionate.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Non sono previste suddivisioni in lotti.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Importo: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Il servizio dovrà essere svolto senza oneri a carico dell’amministrazione comunale, salvo le eventuali commissioni dovute sulle singole operazioni.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Pertanto, ad esclusione di quanto sopra, il contratto è privo di corrispettivo a favore del concessionario.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Ai soli fini dell’assolvimento degli obblighi di contribuzione all’ANAC, della determinazione della cauzione definitiva viene ipotizzato un valore della concessione nel quinquennio di € </w:t>
      </w:r>
      <w:r w:rsidR="001E0C10">
        <w:rPr>
          <w:rFonts w:cstheme="minorHAnsi"/>
        </w:rPr>
        <w:t>2</w:t>
      </w:r>
      <w:r w:rsidRPr="004E049B">
        <w:rPr>
          <w:rFonts w:cstheme="minorHAnsi"/>
        </w:rPr>
        <w:t>0.000,00.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Ai sensi del </w:t>
      </w:r>
      <w:r w:rsidR="008F7447" w:rsidRPr="004E049B">
        <w:rPr>
          <w:rFonts w:cstheme="minorHAnsi"/>
        </w:rPr>
        <w:t>D.lgs.</w:t>
      </w:r>
      <w:r w:rsidRPr="004E049B">
        <w:rPr>
          <w:rFonts w:cstheme="minorHAnsi"/>
        </w:rPr>
        <w:t xml:space="preserve"> n. 81/2008 e della determinazione dell’Autorità di vigilanza sui contratti pubblici n. 3 del 05.03.2008, date le caratteristiche dell’appalto, non sono stati ravvisati costi per la sicurezza e non necessita la redazione del DUVRI.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Luogo delle prestazioni: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Comune di Cannara (PG)</w:t>
      </w:r>
      <w:r w:rsidR="00371017">
        <w:rPr>
          <w:rFonts w:cstheme="minorHAnsi"/>
        </w:rPr>
        <w:t xml:space="preserve"> e/o nei Comuni limitrofi distanti dalla sede comunale non più di 15 km, nei</w:t>
      </w:r>
      <w:r w:rsidRPr="004E049B">
        <w:rPr>
          <w:rFonts w:cstheme="minorHAnsi"/>
        </w:rPr>
        <w:t xml:space="preserve"> locali indicati in sede di offerta.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Normativa di riferimento:</w:t>
      </w:r>
    </w:p>
    <w:p w:rsidR="004E049B" w:rsidRPr="004E049B" w:rsidRDefault="008F7447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D.lgs.</w:t>
      </w:r>
      <w:r w:rsidR="004E049B" w:rsidRPr="004E049B">
        <w:rPr>
          <w:rFonts w:cstheme="minorHAnsi"/>
        </w:rPr>
        <w:t xml:space="preserve"> n. 267/2000 e </w:t>
      </w:r>
      <w:proofErr w:type="spellStart"/>
      <w:r w:rsidR="004E049B" w:rsidRPr="004E049B">
        <w:rPr>
          <w:rFonts w:cstheme="minorHAnsi"/>
        </w:rPr>
        <w:t>s.m.i.</w:t>
      </w:r>
      <w:proofErr w:type="spellEnd"/>
      <w:r w:rsidR="004E049B" w:rsidRPr="004E049B">
        <w:rPr>
          <w:rFonts w:cstheme="minorHAnsi"/>
        </w:rPr>
        <w:t xml:space="preserve">, </w:t>
      </w:r>
      <w:r w:rsidRPr="004E049B">
        <w:rPr>
          <w:rFonts w:cstheme="minorHAnsi"/>
        </w:rPr>
        <w:t>D.lgs.</w:t>
      </w:r>
      <w:r w:rsidR="004E049B" w:rsidRPr="004E049B">
        <w:rPr>
          <w:rFonts w:cstheme="minorHAnsi"/>
        </w:rPr>
        <w:t xml:space="preserve"> n. 50/2016 e </w:t>
      </w:r>
      <w:proofErr w:type="spellStart"/>
      <w:r w:rsidR="004E049B" w:rsidRPr="004E049B">
        <w:rPr>
          <w:rFonts w:cstheme="minorHAnsi"/>
        </w:rPr>
        <w:t>s.m.i.</w:t>
      </w:r>
      <w:proofErr w:type="spellEnd"/>
      <w:r w:rsidR="004E049B" w:rsidRPr="004E049B">
        <w:rPr>
          <w:rFonts w:cstheme="minorHAnsi"/>
        </w:rPr>
        <w:t>, Regolamento di Contabilità, Schema di convenzione approvato con deliberazione del Consiglio Comunale n.</w:t>
      </w:r>
      <w:r w:rsidR="00F26A48">
        <w:rPr>
          <w:rFonts w:cstheme="minorHAnsi"/>
        </w:rPr>
        <w:t xml:space="preserve"> 50</w:t>
      </w:r>
      <w:r w:rsidR="004E049B" w:rsidRPr="004E049B">
        <w:rPr>
          <w:rFonts w:cstheme="minorHAnsi"/>
        </w:rPr>
        <w:t xml:space="preserve"> del </w:t>
      </w:r>
      <w:r w:rsidR="00F26A48">
        <w:rPr>
          <w:rFonts w:cstheme="minorHAnsi"/>
        </w:rPr>
        <w:t>29/11/2016</w:t>
      </w:r>
      <w:r w:rsidR="004E049B" w:rsidRPr="004E049B">
        <w:rPr>
          <w:rFonts w:cstheme="minorHAnsi"/>
        </w:rPr>
        <w:t>, bando di gara e disciplinare di gara.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Termine ultimo di ricezione delle richieste di partecipazione alla procedura aperta: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F26A48">
        <w:rPr>
          <w:rFonts w:cstheme="minorHAnsi"/>
          <w:b/>
        </w:rPr>
        <w:t xml:space="preserve">Entro e non oltre le ore </w:t>
      </w:r>
      <w:r w:rsidR="00F26A48">
        <w:rPr>
          <w:rFonts w:cstheme="minorHAnsi"/>
          <w:b/>
        </w:rPr>
        <w:t>13:00</w:t>
      </w:r>
      <w:r w:rsidRPr="00F26A48">
        <w:rPr>
          <w:rFonts w:cstheme="minorHAnsi"/>
          <w:b/>
          <w:bCs/>
        </w:rPr>
        <w:t xml:space="preserve"> </w:t>
      </w:r>
      <w:r w:rsidRPr="00F26A48">
        <w:rPr>
          <w:rFonts w:cstheme="minorHAnsi"/>
          <w:b/>
        </w:rPr>
        <w:t xml:space="preserve">del giorno </w:t>
      </w:r>
      <w:r w:rsidR="00F26A48">
        <w:rPr>
          <w:rFonts w:cstheme="minorHAnsi"/>
          <w:b/>
        </w:rPr>
        <w:t>LUNEDI’ 19 DICEMBRE</w:t>
      </w:r>
      <w:r w:rsidRPr="00F26A48">
        <w:rPr>
          <w:rFonts w:cstheme="minorHAnsi"/>
          <w:b/>
          <w:bCs/>
        </w:rPr>
        <w:t xml:space="preserve"> 2016</w:t>
      </w:r>
      <w:r w:rsidRPr="004E049B">
        <w:rPr>
          <w:rFonts w:cstheme="minorHAnsi"/>
          <w:b/>
          <w:bCs/>
        </w:rPr>
        <w:t xml:space="preserve">, </w:t>
      </w:r>
      <w:r w:rsidRPr="004E049B">
        <w:rPr>
          <w:rFonts w:cstheme="minorHAnsi"/>
        </w:rPr>
        <w:t>a pena di esclusione.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Per le modalità da seguire per la presentazione delle richieste di partecipazione si rinvia al Disciplinare di gara.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lastRenderedPageBreak/>
        <w:t>Indirizzo al quale devono essere inviate le offerte e le domande di partecipazione: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Le ditte concorrenti dovranno presentare, entro il termine perentorio sopra indicato, la documentazione richiesta, che costituirà l’offerta, debitamente firmata, secondo le modalità indicate all’art. 11 del Disciplinare di Gara.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Caratteristiche del plico, offerta e documentazione da presentare: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Si rinvia a quanto previsto nel Disciplinare di Gara.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Periodo di tempo durante il quale l’offerente è vincolato dalla propria offerta: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180 giorni, naturali e consecutivi, dalla data di scadenza di presentazione delle offerte, ai sensi dell’art. 1</w:t>
      </w:r>
      <w:r w:rsidR="001E0C10">
        <w:rPr>
          <w:rFonts w:cstheme="minorHAnsi"/>
        </w:rPr>
        <w:t>1.</w:t>
      </w:r>
      <w:r w:rsidRPr="004E049B">
        <w:rPr>
          <w:rFonts w:cstheme="minorHAnsi"/>
        </w:rPr>
        <w:t xml:space="preserve"> del Disciplinare di Gara.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Soggetti ammessi alla gara: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Si rinvia a quanto previsto ai punti 5. e 6. del Disciplinare di gara.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  <w:b/>
          <w:bCs/>
        </w:rPr>
        <w:t>Requisiti di ammissione alla gara</w:t>
      </w:r>
      <w:r w:rsidRPr="004E049B">
        <w:rPr>
          <w:rFonts w:cstheme="minorHAnsi"/>
        </w:rPr>
        <w:t>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Si rinvia a quanto indicato al punto 7. del Disciplinare di gara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Lingua: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Italiana. Le autocertificazioni, le certificazioni, la lettera di richiesta di partecipazione, i documenti e l’offerta devono essere redatti in lingua italiana o corredati di traduzione giurata.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Data, ora e luogo della gara: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Si rinvia a quanto previsto al punto 16 del Disciplinare di Gara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Cauzioni: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Ciascun operatore economico concorrente, dovrà costituir</w:t>
      </w:r>
      <w:r w:rsidR="001E0C10">
        <w:rPr>
          <w:rFonts w:cstheme="minorHAnsi"/>
        </w:rPr>
        <w:t>e una cauzione provvisoria i € 4</w:t>
      </w:r>
      <w:r w:rsidRPr="004E049B">
        <w:rPr>
          <w:rFonts w:cstheme="minorHAnsi"/>
        </w:rPr>
        <w:t xml:space="preserve">00,00 pari al 2% (due percento) del valore posto a base d’asta (IVA esclusa) con validità di 180 (centottanta) giorni ai sensi dell’art. 93 del </w:t>
      </w:r>
      <w:r w:rsidR="008F7447" w:rsidRPr="004E049B">
        <w:rPr>
          <w:rFonts w:cstheme="minorHAnsi"/>
        </w:rPr>
        <w:t>D.lgs.</w:t>
      </w:r>
      <w:r w:rsidRPr="004E049B">
        <w:rPr>
          <w:rFonts w:cstheme="minorHAnsi"/>
        </w:rPr>
        <w:t xml:space="preserve"> 50/2016.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Per effetto del contenuto dell’art. 211, comma 1, del </w:t>
      </w:r>
      <w:r w:rsidR="008F7447" w:rsidRPr="004E049B">
        <w:rPr>
          <w:rFonts w:cstheme="minorHAnsi"/>
        </w:rPr>
        <w:t>D.lgs.</w:t>
      </w:r>
      <w:r w:rsidRPr="004E049B">
        <w:rPr>
          <w:rFonts w:cstheme="minorHAnsi"/>
        </w:rPr>
        <w:t xml:space="preserve"> n. 267/2000, ove si prevede che il Tesoriere risponde con tutte le proprie attività e con il proprio patrimonio di eventuali danni all’Ente appaltante o a terzi, il Tesoriere è esonerato dal presentare cauzione definitiva.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Finanziamento e Pagamento: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Il servizio </w:t>
      </w:r>
      <w:r w:rsidR="001E0C10">
        <w:rPr>
          <w:rFonts w:cstheme="minorHAnsi"/>
        </w:rPr>
        <w:t xml:space="preserve">può comportare spese e/o proventi </w:t>
      </w:r>
      <w:r w:rsidRPr="004E049B">
        <w:rPr>
          <w:rFonts w:cstheme="minorHAnsi"/>
        </w:rPr>
        <w:t>per il Comune</w:t>
      </w:r>
      <w:r w:rsidR="001E0C10">
        <w:rPr>
          <w:rFonts w:cstheme="minorHAnsi"/>
        </w:rPr>
        <w:t xml:space="preserve"> (in base alle condizioni risultanti dallo svolgimento della gara ad evidenza pubblica)</w:t>
      </w:r>
      <w:r w:rsidRPr="004E049B">
        <w:rPr>
          <w:rFonts w:cstheme="minorHAnsi"/>
        </w:rPr>
        <w:t>. Le eventuali</w:t>
      </w:r>
      <w:r w:rsidR="001E0C10">
        <w:rPr>
          <w:rFonts w:cstheme="minorHAnsi"/>
        </w:rPr>
        <w:t xml:space="preserve"> spese per</w:t>
      </w:r>
      <w:r w:rsidRPr="004E049B">
        <w:rPr>
          <w:rFonts w:cstheme="minorHAnsi"/>
        </w:rPr>
        <w:t xml:space="preserve"> commissioni sulle operazioni</w:t>
      </w:r>
      <w:r w:rsidR="001E0C10">
        <w:rPr>
          <w:rFonts w:cstheme="minorHAnsi"/>
        </w:rPr>
        <w:t xml:space="preserve"> </w:t>
      </w:r>
      <w:r w:rsidR="001E0C10" w:rsidRPr="004E049B">
        <w:rPr>
          <w:rFonts w:cstheme="minorHAnsi"/>
        </w:rPr>
        <w:t>effettuate</w:t>
      </w:r>
      <w:r w:rsidR="001E0C10">
        <w:rPr>
          <w:rFonts w:cstheme="minorHAnsi"/>
        </w:rPr>
        <w:t xml:space="preserve"> e/o rimborso spese per la gestione del servizio</w:t>
      </w:r>
      <w:r w:rsidRPr="004E049B">
        <w:rPr>
          <w:rFonts w:cstheme="minorHAnsi"/>
        </w:rPr>
        <w:t xml:space="preserve"> saranno coperte da entrate correnti del bilancio dell’Ente e saranno pagate alle scadenze convenute.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lastRenderedPageBreak/>
        <w:t>Rinvio: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Per tutto quanto non previsto nel presente bando si fa riferimento a quanto indicato nel Disciplinare di Gara e nella Convenzione; sono applicabili le disposizioni contenute nel Decreto Legislativo n. 50/2016, nonché le disposizioni del Codice Civile e delle altre leggi e regolamenti vigenti in materia in quanto applicabili e che qui si intendono riportate ed approvate per intero.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Informativa per il trattamento dei dati personali:</w:t>
      </w:r>
    </w:p>
    <w:p w:rsidR="004E049B" w:rsidRP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 xml:space="preserve">Ai sensi e per gli effetti di quanto disposto dal </w:t>
      </w:r>
      <w:r w:rsidR="008F7447" w:rsidRPr="004E049B">
        <w:rPr>
          <w:rFonts w:cstheme="minorHAnsi"/>
        </w:rPr>
        <w:t>D.lgs.</w:t>
      </w:r>
      <w:r w:rsidRPr="004E049B">
        <w:rPr>
          <w:rFonts w:cstheme="minorHAnsi"/>
        </w:rPr>
        <w:t xml:space="preserve"> n. 196/2003, si avvisa che i dati raccolti nel corso della procedura di espletamento della gara e di stipulazione del contratto saranno trattati ai soli fini previsti dalla normativa di settore, dalla normativa in materia di semplificazione amministrativa ovvero in caso di richiesta di accesso agli atti o di ricorso all’autorità giudiziaria. Il titolare del trattamento è la stazione appalta.</w:t>
      </w: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</w:p>
    <w:p w:rsidR="004E049B" w:rsidRPr="004E049B" w:rsidRDefault="004E049B" w:rsidP="004E049B">
      <w:pPr>
        <w:spacing w:after="0"/>
        <w:jc w:val="both"/>
        <w:rPr>
          <w:rFonts w:cstheme="minorHAnsi"/>
          <w:b/>
          <w:bCs/>
        </w:rPr>
      </w:pPr>
      <w:r w:rsidRPr="004E049B">
        <w:rPr>
          <w:rFonts w:cstheme="minorHAnsi"/>
          <w:b/>
          <w:bCs/>
        </w:rPr>
        <w:t>Autorità responsabile delle procedure di ricorso:</w:t>
      </w:r>
    </w:p>
    <w:p w:rsidR="004E049B" w:rsidRDefault="004E049B" w:rsidP="004E049B">
      <w:pPr>
        <w:spacing w:after="0"/>
        <w:jc w:val="both"/>
        <w:rPr>
          <w:rFonts w:cstheme="minorHAnsi"/>
        </w:rPr>
      </w:pPr>
      <w:r w:rsidRPr="004E049B">
        <w:rPr>
          <w:rFonts w:cstheme="minorHAnsi"/>
        </w:rPr>
        <w:t>Tribunale Amministrativo Regionale dell’Umbria.</w:t>
      </w:r>
    </w:p>
    <w:p w:rsidR="00204969" w:rsidRDefault="00204969" w:rsidP="004E049B">
      <w:pPr>
        <w:spacing w:after="0"/>
        <w:jc w:val="both"/>
        <w:rPr>
          <w:rFonts w:cstheme="minorHAnsi"/>
        </w:rPr>
      </w:pPr>
    </w:p>
    <w:p w:rsidR="00204969" w:rsidRPr="004E049B" w:rsidRDefault="00204969" w:rsidP="004E049B">
      <w:pPr>
        <w:spacing w:after="0"/>
        <w:jc w:val="both"/>
        <w:rPr>
          <w:rFonts w:cstheme="minorHAnsi"/>
        </w:rPr>
      </w:pPr>
    </w:p>
    <w:p w:rsidR="0017030A" w:rsidRPr="0017030A" w:rsidRDefault="0017030A" w:rsidP="00170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parajita" w:eastAsia="Times New Roman" w:hAnsi="Aparajita" w:cs="Aparajita"/>
          <w:b/>
          <w:i/>
          <w:color w:val="000000"/>
          <w:sz w:val="28"/>
          <w:szCs w:val="28"/>
          <w:lang w:eastAsia="it-IT"/>
        </w:rPr>
      </w:pPr>
      <w:r w:rsidRPr="0017030A">
        <w:rPr>
          <w:rFonts w:ascii="Aparajita" w:eastAsia="Times New Roman" w:hAnsi="Aparajita" w:cs="Aparajita"/>
          <w:b/>
          <w:i/>
          <w:color w:val="000000"/>
          <w:sz w:val="28"/>
          <w:szCs w:val="28"/>
          <w:lang w:eastAsia="it-IT"/>
        </w:rPr>
        <w:t>Il Res</w:t>
      </w:r>
      <w:r>
        <w:rPr>
          <w:rFonts w:ascii="Aparajita" w:eastAsia="Times New Roman" w:hAnsi="Aparajita" w:cs="Aparajita"/>
          <w:b/>
          <w:i/>
          <w:color w:val="000000"/>
          <w:sz w:val="28"/>
          <w:szCs w:val="28"/>
          <w:lang w:eastAsia="it-IT"/>
        </w:rPr>
        <w:t xml:space="preserve">ponsabile del Settore Economico e </w:t>
      </w:r>
      <w:r w:rsidRPr="0017030A">
        <w:rPr>
          <w:rFonts w:ascii="Aparajita" w:eastAsia="Times New Roman" w:hAnsi="Aparajita" w:cs="Aparajita"/>
          <w:b/>
          <w:i/>
          <w:color w:val="000000"/>
          <w:sz w:val="28"/>
          <w:szCs w:val="28"/>
          <w:lang w:eastAsia="it-IT"/>
        </w:rPr>
        <w:t>Finanziario</w:t>
      </w:r>
    </w:p>
    <w:p w:rsidR="0017030A" w:rsidRPr="0017030A" w:rsidRDefault="0017030A" w:rsidP="0017030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parajita" w:eastAsia="Times New Roman" w:hAnsi="Aparajita" w:cs="Aparajita"/>
          <w:b/>
          <w:i/>
          <w:iCs/>
          <w:color w:val="000000"/>
          <w:sz w:val="28"/>
          <w:szCs w:val="28"/>
          <w:lang w:eastAsia="it-IT"/>
        </w:rPr>
      </w:pPr>
      <w:r w:rsidRPr="0017030A">
        <w:rPr>
          <w:rFonts w:ascii="Aparajita" w:eastAsia="Times New Roman" w:hAnsi="Aparajita" w:cs="Aparajita"/>
          <w:b/>
          <w:i/>
          <w:iCs/>
          <w:color w:val="000000"/>
          <w:sz w:val="28"/>
          <w:szCs w:val="28"/>
          <w:lang w:eastAsia="it-IT"/>
        </w:rPr>
        <w:t xml:space="preserve">Dott. </w:t>
      </w:r>
      <w:bookmarkStart w:id="0" w:name="_GoBack"/>
      <w:bookmarkEnd w:id="0"/>
      <w:r w:rsidRPr="0017030A">
        <w:rPr>
          <w:rFonts w:ascii="Aparajita" w:eastAsia="Times New Roman" w:hAnsi="Aparajita" w:cs="Aparajita"/>
          <w:b/>
          <w:i/>
          <w:iCs/>
          <w:color w:val="000000"/>
          <w:sz w:val="28"/>
          <w:szCs w:val="28"/>
          <w:lang w:eastAsia="it-IT"/>
        </w:rPr>
        <w:t>S</w:t>
      </w:r>
      <w:r>
        <w:rPr>
          <w:rFonts w:ascii="Aparajita" w:eastAsia="Times New Roman" w:hAnsi="Aparajita" w:cs="Aparajita"/>
          <w:b/>
          <w:i/>
          <w:iCs/>
          <w:color w:val="000000"/>
          <w:sz w:val="28"/>
          <w:szCs w:val="28"/>
          <w:lang w:eastAsia="it-IT"/>
        </w:rPr>
        <w:t>TEFANO MINNI</w:t>
      </w:r>
    </w:p>
    <w:p w:rsidR="00204969" w:rsidRPr="00A636BF" w:rsidRDefault="00204969" w:rsidP="00204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604107" w:rsidRPr="00A636BF" w:rsidRDefault="00604107" w:rsidP="004E049B">
      <w:pPr>
        <w:spacing w:after="0"/>
        <w:jc w:val="both"/>
        <w:rPr>
          <w:rFonts w:cstheme="minorHAnsi"/>
        </w:rPr>
      </w:pPr>
    </w:p>
    <w:sectPr w:rsidR="00604107" w:rsidRPr="00A63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87" w:rsidRDefault="00D91787" w:rsidP="005479C1">
      <w:pPr>
        <w:spacing w:after="0" w:line="240" w:lineRule="auto"/>
      </w:pPr>
      <w:r>
        <w:separator/>
      </w:r>
    </w:p>
  </w:endnote>
  <w:endnote w:type="continuationSeparator" w:id="0">
    <w:p w:rsidR="00D91787" w:rsidRDefault="00D91787" w:rsidP="005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fa Rotis Serif">
    <w:altName w:val="Times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05" w:rsidRDefault="002810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BF" w:rsidRDefault="00A77EBF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A77EBF" w:rsidRDefault="00A77EBF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8654E8" w:rsidRPr="000E0908" w:rsidRDefault="008654E8" w:rsidP="008654E8">
    <w:pPr>
      <w:pStyle w:val="Pidipagina"/>
      <w:jc w:val="center"/>
      <w:rPr>
        <w:rFonts w:ascii="Arial Narrow" w:hAnsi="Arial Narrow"/>
        <w:sz w:val="18"/>
        <w:szCs w:val="18"/>
      </w:rPr>
    </w:pPr>
    <w:r w:rsidRPr="000E0908">
      <w:rPr>
        <w:rFonts w:ascii="Arial Narrow" w:hAnsi="Arial Narrow"/>
        <w:b/>
        <w:sz w:val="18"/>
        <w:szCs w:val="18"/>
      </w:rPr>
      <w:t>Comune di Cannara</w:t>
    </w:r>
    <w:r w:rsidRPr="000E0908">
      <w:rPr>
        <w:rFonts w:ascii="Arial Narrow" w:hAnsi="Arial Narrow"/>
        <w:sz w:val="18"/>
        <w:szCs w:val="18"/>
      </w:rPr>
      <w:t xml:space="preserve"> - Piazza </w:t>
    </w:r>
    <w:r w:rsidR="002F2779">
      <w:rPr>
        <w:rFonts w:ascii="Arial Narrow" w:hAnsi="Arial Narrow"/>
        <w:sz w:val="18"/>
        <w:szCs w:val="18"/>
      </w:rPr>
      <w:t xml:space="preserve">Valter </w:t>
    </w:r>
    <w:proofErr w:type="spellStart"/>
    <w:r w:rsidR="002F2779">
      <w:rPr>
        <w:rFonts w:ascii="Arial Narrow" w:hAnsi="Arial Narrow"/>
        <w:sz w:val="18"/>
        <w:szCs w:val="18"/>
      </w:rPr>
      <w:t>Baldaccini</w:t>
    </w:r>
    <w:proofErr w:type="spellEnd"/>
    <w:r w:rsidRPr="000E0908">
      <w:rPr>
        <w:rFonts w:ascii="Arial Narrow" w:hAnsi="Arial Narrow"/>
        <w:sz w:val="18"/>
        <w:szCs w:val="18"/>
      </w:rPr>
      <w:t xml:space="preserve">, </w:t>
    </w:r>
    <w:r w:rsidR="002F2779">
      <w:rPr>
        <w:rFonts w:ascii="Arial Narrow" w:hAnsi="Arial Narrow"/>
        <w:sz w:val="18"/>
        <w:szCs w:val="18"/>
      </w:rPr>
      <w:t>2</w:t>
    </w:r>
    <w:r w:rsidRPr="000E0908">
      <w:rPr>
        <w:rFonts w:ascii="Arial Narrow" w:hAnsi="Arial Narrow"/>
        <w:sz w:val="18"/>
        <w:szCs w:val="18"/>
      </w:rPr>
      <w:t>, 06033 Cannara (PG)</w:t>
    </w:r>
  </w:p>
  <w:p w:rsidR="005479C1" w:rsidRPr="000E0908" w:rsidRDefault="008654E8" w:rsidP="008654E8">
    <w:pPr>
      <w:pStyle w:val="Pidipagina"/>
      <w:jc w:val="center"/>
      <w:rPr>
        <w:rFonts w:ascii="Arial Narrow" w:hAnsi="Arial Narrow"/>
        <w:sz w:val="16"/>
        <w:szCs w:val="16"/>
      </w:rPr>
    </w:pPr>
    <w:r w:rsidRPr="000E0908">
      <w:rPr>
        <w:rFonts w:ascii="Arial Narrow" w:hAnsi="Arial Narrow"/>
        <w:sz w:val="16"/>
        <w:szCs w:val="16"/>
      </w:rPr>
      <w:t>P.IVA 00407650548 | Casella PEC: comune.cannara@postacert.umbria.it | Tel. +39 0742 731811 | Fax 0742 731824</w:t>
    </w:r>
  </w:p>
  <w:p w:rsidR="005479C1" w:rsidRDefault="005479C1" w:rsidP="005479C1">
    <w:pPr>
      <w:pStyle w:val="Pidipagina"/>
      <w:jc w:val="center"/>
      <w:rPr>
        <w:rFonts w:ascii="Agfa Rotis Sans Serif" w:hAnsi="Agfa Rotis Sans Serif"/>
        <w:sz w:val="18"/>
        <w:szCs w:val="18"/>
      </w:rPr>
    </w:pPr>
  </w:p>
  <w:p w:rsidR="005479C1" w:rsidRPr="005479C1" w:rsidRDefault="008654E8" w:rsidP="008654E8">
    <w:pPr>
      <w:pStyle w:val="Pidipagina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ab/>
    </w:r>
    <w:r>
      <w:rPr>
        <w:rFonts w:ascii="Agfa Rotis Sans Serif" w:hAnsi="Agfa Rotis Sans Seri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05" w:rsidRDefault="00281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87" w:rsidRDefault="00D91787" w:rsidP="005479C1">
      <w:pPr>
        <w:spacing w:after="0" w:line="240" w:lineRule="auto"/>
      </w:pPr>
      <w:r>
        <w:separator/>
      </w:r>
    </w:p>
  </w:footnote>
  <w:footnote w:type="continuationSeparator" w:id="0">
    <w:p w:rsidR="00D91787" w:rsidRDefault="00D91787" w:rsidP="005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05" w:rsidRDefault="002810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C1" w:rsidRPr="000E0908" w:rsidRDefault="00281005" w:rsidP="005479C1">
    <w:pPr>
      <w:pStyle w:val="Intestazione"/>
      <w:rPr>
        <w:rFonts w:ascii="Arial Narrow" w:hAnsi="Arial Narrow"/>
        <w:sz w:val="40"/>
      </w:rPr>
    </w:pPr>
    <w:r>
      <w:rPr>
        <w:rFonts w:ascii="Agfa Rotis Serif" w:hAnsi="Agfa Rotis Serif"/>
        <w:noProof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5443903</wp:posOffset>
          </wp:positionH>
          <wp:positionV relativeFrom="paragraph">
            <wp:posOffset>54610</wp:posOffset>
          </wp:positionV>
          <wp:extent cx="652476" cy="893928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_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76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9C1">
      <w:rPr>
        <w:rFonts w:ascii="Agfa Rotis Serif" w:hAnsi="Agfa Rotis Serif"/>
        <w:noProof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13FB9410" wp14:editId="356BF3B1">
          <wp:simplePos x="0" y="0"/>
          <wp:positionH relativeFrom="column">
            <wp:posOffset>3175</wp:posOffset>
          </wp:positionH>
          <wp:positionV relativeFrom="paragraph">
            <wp:posOffset>-203608</wp:posOffset>
          </wp:positionV>
          <wp:extent cx="805815" cy="1270635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9C1">
      <w:rPr>
        <w:rFonts w:ascii="Agfa Rotis Serif" w:hAnsi="Agfa Rotis Serif"/>
        <w:sz w:val="40"/>
      </w:rPr>
      <w:tab/>
    </w:r>
    <w:r w:rsidR="005479C1" w:rsidRPr="000E0908">
      <w:rPr>
        <w:rFonts w:ascii="Arial Narrow" w:hAnsi="Arial Narrow"/>
        <w:sz w:val="40"/>
      </w:rPr>
      <w:t>Comune di Cannara</w:t>
    </w:r>
  </w:p>
  <w:p w:rsidR="008654E8" w:rsidRPr="000E0908" w:rsidRDefault="008654E8" w:rsidP="008654E8">
    <w:pPr>
      <w:pStyle w:val="Intestazione"/>
      <w:jc w:val="center"/>
      <w:rPr>
        <w:rFonts w:ascii="Arial Narrow" w:hAnsi="Arial Narrow"/>
      </w:rPr>
    </w:pPr>
    <w:r w:rsidRPr="000E0908">
      <w:rPr>
        <w:rFonts w:ascii="Arial Narrow" w:hAnsi="Arial Narrow"/>
        <w:sz w:val="18"/>
      </w:rPr>
      <w:t>PROVINCIA DI PERUGIA</w:t>
    </w:r>
    <w:r w:rsidR="005479C1" w:rsidRPr="000E0908">
      <w:rPr>
        <w:rFonts w:ascii="Arial Narrow" w:hAnsi="Arial Narrow"/>
      </w:rPr>
      <w:t xml:space="preserve">  </w:t>
    </w: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  <w:r w:rsidRPr="000E0908">
      <w:rPr>
        <w:rFonts w:ascii="Arial Narrow" w:hAnsi="Arial Narrow" w:cs="Tahoma"/>
        <w:b/>
        <w:sz w:val="6"/>
        <w:szCs w:val="6"/>
      </w:rPr>
      <w:t>______________________________________________________________________________</w:t>
    </w: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:rsidR="005479C1" w:rsidRPr="000E0908" w:rsidRDefault="000E0908" w:rsidP="005479C1">
    <w:pPr>
      <w:pStyle w:val="Intestazione"/>
      <w:jc w:val="center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>SETTORE ECONOMICO E FINANZIARIO</w:t>
    </w:r>
  </w:p>
  <w:p w:rsidR="005479C1" w:rsidRDefault="005479C1">
    <w:pPr>
      <w:pStyle w:val="Intestazione"/>
    </w:pPr>
  </w:p>
  <w:p w:rsidR="00A14BDB" w:rsidRDefault="00A14BDB">
    <w:pPr>
      <w:pStyle w:val="Intestazione"/>
    </w:pPr>
  </w:p>
  <w:p w:rsidR="00A14BDB" w:rsidRDefault="00A14B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05" w:rsidRDefault="002810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9"/>
    <w:rsid w:val="00007874"/>
    <w:rsid w:val="000127AE"/>
    <w:rsid w:val="000E0908"/>
    <w:rsid w:val="0017030A"/>
    <w:rsid w:val="00182E31"/>
    <w:rsid w:val="001965A6"/>
    <w:rsid w:val="001A7670"/>
    <w:rsid w:val="001B7E06"/>
    <w:rsid w:val="001E0C10"/>
    <w:rsid w:val="00203AB1"/>
    <w:rsid w:val="00204969"/>
    <w:rsid w:val="00233CA7"/>
    <w:rsid w:val="002507BD"/>
    <w:rsid w:val="00281005"/>
    <w:rsid w:val="00290CAD"/>
    <w:rsid w:val="002B2ECE"/>
    <w:rsid w:val="002D5C68"/>
    <w:rsid w:val="002F2779"/>
    <w:rsid w:val="00302597"/>
    <w:rsid w:val="00345AAD"/>
    <w:rsid w:val="00355B14"/>
    <w:rsid w:val="00371017"/>
    <w:rsid w:val="003E031D"/>
    <w:rsid w:val="004E049B"/>
    <w:rsid w:val="005479C1"/>
    <w:rsid w:val="00604107"/>
    <w:rsid w:val="00615E84"/>
    <w:rsid w:val="00737020"/>
    <w:rsid w:val="00745060"/>
    <w:rsid w:val="007A154B"/>
    <w:rsid w:val="00860E2E"/>
    <w:rsid w:val="008654E8"/>
    <w:rsid w:val="008F7447"/>
    <w:rsid w:val="00986B9C"/>
    <w:rsid w:val="009E4AF5"/>
    <w:rsid w:val="00A14BDB"/>
    <w:rsid w:val="00A636BF"/>
    <w:rsid w:val="00A77EBF"/>
    <w:rsid w:val="00BD6144"/>
    <w:rsid w:val="00C77D77"/>
    <w:rsid w:val="00D0289E"/>
    <w:rsid w:val="00D330FD"/>
    <w:rsid w:val="00D91787"/>
    <w:rsid w:val="00DC65BE"/>
    <w:rsid w:val="00F23560"/>
    <w:rsid w:val="00F26A48"/>
    <w:rsid w:val="00F72002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227E-B4AC-4FCB-B3DB-6E289D03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19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2014-08-26T11:18:00Z</cp:lastPrinted>
  <dcterms:created xsi:type="dcterms:W3CDTF">2016-08-17T08:27:00Z</dcterms:created>
  <dcterms:modified xsi:type="dcterms:W3CDTF">2016-11-30T09:24:00Z</dcterms:modified>
</cp:coreProperties>
</file>