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59C0" w14:textId="77777777" w:rsidR="00021F50" w:rsidRPr="00021F50" w:rsidRDefault="00021F50" w:rsidP="00021F50">
      <w:pPr>
        <w:widowControl w:val="0"/>
        <w:tabs>
          <w:tab w:val="right" w:leader="dot" w:pos="9580"/>
        </w:tabs>
        <w:autoSpaceDE w:val="0"/>
        <w:autoSpaceDN w:val="0"/>
        <w:adjustRightInd w:val="0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</w:pPr>
      <w:bookmarkStart w:id="0" w:name="_Toc442779216"/>
      <w:bookmarkStart w:id="1" w:name="_Toc441489150"/>
      <w:bookmarkStart w:id="2" w:name="_Toc442822732"/>
      <w:bookmarkStart w:id="3" w:name="_Toc447062453"/>
      <w:bookmarkStart w:id="4" w:name="_Toc73872549"/>
      <w:bookmarkStart w:id="5" w:name="_Toc98939790"/>
      <w:bookmarkStart w:id="6" w:name="_Toc120619557"/>
      <w:r w:rsidRPr="00021F50"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t>TITOLO XVIII  ILLUMINAZIONE VOTIVA</w:t>
      </w:r>
      <w:bookmarkEnd w:id="0"/>
      <w:bookmarkEnd w:id="1"/>
      <w:bookmarkEnd w:id="2"/>
      <w:bookmarkEnd w:id="3"/>
      <w:bookmarkEnd w:id="4"/>
      <w:bookmarkEnd w:id="5"/>
      <w:bookmarkEnd w:id="6"/>
    </w:p>
    <w:p w14:paraId="3F3DF09E" w14:textId="77777777" w:rsidR="00021F50" w:rsidRPr="00021F50" w:rsidRDefault="00021F50" w:rsidP="00021F50">
      <w:pPr>
        <w:widowControl w:val="0"/>
        <w:autoSpaceDE w:val="0"/>
        <w:autoSpaceDN w:val="0"/>
        <w:adjustRightInd w:val="0"/>
        <w:spacing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7" w:name="_Toc442779218"/>
      <w:bookmarkStart w:id="8" w:name="_Toc442777190"/>
      <w:bookmarkStart w:id="9" w:name="_Toc442822734"/>
      <w:bookmarkStart w:id="10" w:name="_Toc447062455"/>
      <w:bookmarkStart w:id="11" w:name="_Toc73872551"/>
      <w:bookmarkStart w:id="12" w:name="_Toc98939792"/>
      <w:bookmarkStart w:id="13" w:name="_Toc120619558"/>
      <w:r w:rsidRPr="00021F5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Gestione del servizio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4644BD62" w14:textId="77777777" w:rsidR="00021F50" w:rsidRPr="00021F50" w:rsidRDefault="00021F50" w:rsidP="00021F5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Sulle sepolture è consentita l'illuminazione votiva elettrica.</w:t>
      </w:r>
    </w:p>
    <w:p w14:paraId="5622263A" w14:textId="77777777" w:rsidR="00021F50" w:rsidRPr="00021F50" w:rsidRDefault="00021F50" w:rsidP="00021F5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Sui </w:t>
      </w:r>
      <w:proofErr w:type="spellStart"/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copritomba</w:t>
      </w:r>
      <w:proofErr w:type="spellEnd"/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 a terra e sulle lapidi dei loculi, ossari, cinerari, tombe a terra e targhe alla memoria </w:t>
      </w:r>
      <w:proofErr w:type="spellStart"/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é</w:t>
      </w:r>
      <w:proofErr w:type="spellEnd"/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 consentita la collocazione di lumini votivi a led unicamente per 30 giorni successivi alla sepoltura. </w:t>
      </w:r>
    </w:p>
    <w:p w14:paraId="77215FCD" w14:textId="77777777" w:rsidR="00021F50" w:rsidRPr="00021F50" w:rsidRDefault="00021F50" w:rsidP="00021F5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L'Amministrazione Comunale provvede al servizio illuminazione votiva nei cimiteri direttamente in economia o altra forma di gestione tra quelle indicate dal T.U. 267/2000, quali ad esempio l’appalto o la concessione.</w:t>
      </w:r>
    </w:p>
    <w:p w14:paraId="5665286B" w14:textId="77777777" w:rsidR="00021F50" w:rsidRPr="00021F50" w:rsidRDefault="00021F50" w:rsidP="00021F5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proofErr w:type="gramStart"/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E’</w:t>
      </w:r>
      <w:proofErr w:type="gramEnd"/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 facoltà dei parenti prossimi il defunto richiedere o meno in fase di scelta della concessione di sepoltura, l’illuminazione votiva.</w:t>
      </w:r>
    </w:p>
    <w:p w14:paraId="01CC6EE9" w14:textId="77777777" w:rsidR="00021F50" w:rsidRPr="00021F50" w:rsidRDefault="00021F50" w:rsidP="00021F5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L’illuminazione votiva è di competenza del Responsabile del Servizio che è quindi responsabile della qualità del servizio stesso e lo gestisce in amministrazione diretta o tramite ditta appaltatrice, ovvero del Concessionario a cui è stato affidato il servizio; il Responsabile/Concessionario provvede alla raccolta dei dati, alla tenuta dell'archivio degli utenti, all'amministrazione del servizio in genere, alla fornitura dell’energia, nonché alla gestione e all'esercizio degli impianti. </w:t>
      </w:r>
    </w:p>
    <w:p w14:paraId="1AC7928D" w14:textId="77777777" w:rsidR="00021F50" w:rsidRPr="00021F50" w:rsidRDefault="00021F50" w:rsidP="00021F50">
      <w:pPr>
        <w:widowControl w:val="0"/>
        <w:autoSpaceDE w:val="0"/>
        <w:autoSpaceDN w:val="0"/>
        <w:adjustRightInd w:val="0"/>
        <w:spacing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14" w:name="_Toc442779219"/>
      <w:bookmarkStart w:id="15" w:name="_Toc442777191"/>
      <w:bookmarkStart w:id="16" w:name="_Toc442822735"/>
      <w:bookmarkStart w:id="17" w:name="_Toc447062456"/>
      <w:bookmarkStart w:id="18" w:name="_Toc73872552"/>
      <w:bookmarkStart w:id="19" w:name="_Toc98939793"/>
      <w:bookmarkStart w:id="20" w:name="_Toc120619559"/>
      <w:r w:rsidRPr="00021F5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Campo di applicazione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754DDDA6" w14:textId="77777777" w:rsidR="00021F50" w:rsidRPr="00021F50" w:rsidRDefault="00021F50" w:rsidP="00021F50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A richiesta degli interessati, il servizio di illuminazione votiva è assicurato previo versamento del corrispettivo dovuto in sede di concessione, determinato dalla Giunta Comunale.</w:t>
      </w:r>
    </w:p>
    <w:p w14:paraId="473D2383" w14:textId="77777777" w:rsidR="00021F50" w:rsidRPr="00021F50" w:rsidRDefault="00021F50" w:rsidP="00021F50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Il servizio è reso:</w:t>
      </w:r>
    </w:p>
    <w:p w14:paraId="0F883C53" w14:textId="77777777" w:rsidR="00021F50" w:rsidRPr="00021F50" w:rsidRDefault="00021F50" w:rsidP="00021F50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a) nei campi di inumazione;</w:t>
      </w:r>
    </w:p>
    <w:p w14:paraId="787EE68F" w14:textId="77777777" w:rsidR="00021F50" w:rsidRPr="00021F50" w:rsidRDefault="00021F50" w:rsidP="00021F50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b) nei loculi cimiteriali;</w:t>
      </w:r>
    </w:p>
    <w:p w14:paraId="375FF4CF" w14:textId="77777777" w:rsidR="00021F50" w:rsidRPr="00021F50" w:rsidRDefault="00021F50" w:rsidP="00021F50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c) nelle tombe di famiglia e nelle tombe a terra;</w:t>
      </w:r>
    </w:p>
    <w:p w14:paraId="773F8296" w14:textId="77777777" w:rsidR="00021F50" w:rsidRPr="00021F50" w:rsidRDefault="00021F50" w:rsidP="00021F50">
      <w:pPr>
        <w:tabs>
          <w:tab w:val="left" w:pos="720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d) nei colombari, ossari, cinerari;</w:t>
      </w:r>
    </w:p>
    <w:p w14:paraId="5A81A914" w14:textId="77777777" w:rsidR="00021F50" w:rsidRPr="00021F50" w:rsidRDefault="00021F50" w:rsidP="00021F50">
      <w:pPr>
        <w:widowControl w:val="0"/>
        <w:autoSpaceDE w:val="0"/>
        <w:autoSpaceDN w:val="0"/>
        <w:adjustRightInd w:val="0"/>
        <w:spacing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21" w:name="_Toc442779220"/>
      <w:bookmarkStart w:id="22" w:name="_Toc442777192"/>
      <w:bookmarkStart w:id="23" w:name="_Toc442822736"/>
      <w:bookmarkStart w:id="24" w:name="_Toc447062457"/>
      <w:bookmarkStart w:id="25" w:name="_Toc73872553"/>
      <w:bookmarkStart w:id="26" w:name="_Toc98939794"/>
      <w:bookmarkStart w:id="27" w:name="_Toc120619560"/>
      <w:r w:rsidRPr="00021F5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Servizio e tariffe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3B405662" w14:textId="77777777" w:rsidR="00021F50" w:rsidRPr="00021F50" w:rsidRDefault="00021F50" w:rsidP="00021F50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Le tariffe per l'illuminazione votiva elettrica sono ricomprese nel canone concessorio della sepoltura. Potranno essere richieste concessioni con o senza illuminazione votiva con importi diversi.</w:t>
      </w:r>
    </w:p>
    <w:p w14:paraId="2E3EB995" w14:textId="77777777" w:rsidR="00021F50" w:rsidRPr="00021F50" w:rsidRDefault="00021F50" w:rsidP="00021F50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Il servizio comprende le spese fisse di impianto, ovvero:</w:t>
      </w:r>
    </w:p>
    <w:p w14:paraId="376243A6" w14:textId="77777777" w:rsidR="00021F50" w:rsidRPr="00021F50" w:rsidRDefault="00021F50" w:rsidP="00021F50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le spese contrattuali;</w:t>
      </w:r>
    </w:p>
    <w:p w14:paraId="4FCA0BD3" w14:textId="77777777" w:rsidR="00021F50" w:rsidRPr="00021F50" w:rsidRDefault="00021F50" w:rsidP="00021F50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la compartecipazione nelle spese di allacciamento in misura fissa per tutte le utenze;</w:t>
      </w:r>
    </w:p>
    <w:p w14:paraId="1534734C" w14:textId="77777777" w:rsidR="00021F50" w:rsidRPr="00021F50" w:rsidRDefault="00021F50" w:rsidP="00021F50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la fornitura </w:t>
      </w:r>
      <w:proofErr w:type="gramStart"/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del portalampada</w:t>
      </w:r>
      <w:proofErr w:type="gramEnd"/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 e della lampada;</w:t>
      </w:r>
    </w:p>
    <w:p w14:paraId="1837F5B1" w14:textId="77777777" w:rsidR="00021F50" w:rsidRPr="00021F50" w:rsidRDefault="00021F50" w:rsidP="00021F50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la sorveglianza e la manutenzione degli impianti;</w:t>
      </w:r>
    </w:p>
    <w:p w14:paraId="35D93AED" w14:textId="77777777" w:rsidR="00021F50" w:rsidRPr="00021F50" w:rsidRDefault="00021F50" w:rsidP="00021F50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il ricambio delle lampade su segnalazione guasto da parte dell’utente;</w:t>
      </w:r>
    </w:p>
    <w:p w14:paraId="69B675B4" w14:textId="77777777" w:rsidR="00021F50" w:rsidRPr="00021F50" w:rsidRDefault="00021F50" w:rsidP="00021F50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lastRenderedPageBreak/>
        <w:t>l'erogazione dell'energia elettrica per tutta la durata della concessione.</w:t>
      </w:r>
    </w:p>
    <w:p w14:paraId="17CE71E7" w14:textId="77777777" w:rsidR="00021F50" w:rsidRPr="00021F50" w:rsidRDefault="00021F50" w:rsidP="00021F50">
      <w:p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</w:p>
    <w:p w14:paraId="65F479E4" w14:textId="77777777" w:rsidR="00021F50" w:rsidRPr="00021F50" w:rsidRDefault="00021F50" w:rsidP="00021F50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Il servizio di illuminazione votiva è ricompreso nel canone concessorio per la sepoltura.</w:t>
      </w:r>
    </w:p>
    <w:p w14:paraId="6EF50AE6" w14:textId="77777777" w:rsidR="00021F50" w:rsidRPr="00021F50" w:rsidRDefault="00021F50" w:rsidP="00021F50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Sarà consentito, alle concessioni già in essere alla data di approvazione del presente Regolamento, adeguare la stessa con l’inserimento del servizio di illuminazione votiva calcolato fino allo scadere della concessione.</w:t>
      </w:r>
    </w:p>
    <w:p w14:paraId="49B0090C" w14:textId="77777777" w:rsidR="00021F50" w:rsidRPr="00021F50" w:rsidRDefault="00021F50" w:rsidP="00021F50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Tale adeguamento potrà essere effettuato entro e non oltre </w:t>
      </w:r>
      <w:proofErr w:type="gramStart"/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2</w:t>
      </w:r>
      <w:proofErr w:type="gramEnd"/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 anni dall’approvazione del Regolamento. </w:t>
      </w:r>
    </w:p>
    <w:p w14:paraId="0157F5FE" w14:textId="77777777" w:rsidR="00021F50" w:rsidRPr="00021F50" w:rsidRDefault="00021F50" w:rsidP="00021F50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Decorso tale termine, verrà interrotta l’illuminazione votiva della sepoltura.</w:t>
      </w:r>
    </w:p>
    <w:p w14:paraId="2684C294" w14:textId="77777777" w:rsidR="00021F50" w:rsidRPr="00021F50" w:rsidRDefault="00021F50" w:rsidP="00021F50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Coloro che adegueranno la concessione cimiteriale con il servizio di illuminazione votiva, avranno uno sconto del 20% calcolato sul totale della somma dovuta. </w:t>
      </w:r>
    </w:p>
    <w:p w14:paraId="4E296F2C" w14:textId="77777777" w:rsidR="00021F50" w:rsidRPr="00021F50" w:rsidRDefault="00021F50" w:rsidP="00021F50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L’importo del servizio sarà indicato nel tariffario allegato al presente Regolamento.</w:t>
      </w:r>
      <w:bookmarkStart w:id="28" w:name="_Toc442779223"/>
      <w:bookmarkStart w:id="29" w:name="_Toc442777195"/>
      <w:bookmarkStart w:id="30" w:name="_Toc442822739"/>
      <w:bookmarkStart w:id="31" w:name="_Toc447062460"/>
      <w:bookmarkStart w:id="32" w:name="_Toc73872556"/>
      <w:bookmarkStart w:id="33" w:name="_Toc98939797"/>
    </w:p>
    <w:p w14:paraId="269AD44C" w14:textId="77777777" w:rsidR="00021F50" w:rsidRPr="00021F50" w:rsidRDefault="00021F50" w:rsidP="00021F50">
      <w:pPr>
        <w:widowControl w:val="0"/>
        <w:autoSpaceDE w:val="0"/>
        <w:autoSpaceDN w:val="0"/>
        <w:adjustRightInd w:val="0"/>
        <w:spacing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34" w:name="_Toc120619561"/>
      <w:r w:rsidRPr="00021F5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Orario del servizio – sospensione del servizio</w:t>
      </w:r>
      <w:bookmarkEnd w:id="28"/>
      <w:bookmarkEnd w:id="29"/>
      <w:bookmarkEnd w:id="30"/>
      <w:bookmarkEnd w:id="31"/>
      <w:bookmarkEnd w:id="32"/>
      <w:bookmarkEnd w:id="33"/>
      <w:bookmarkEnd w:id="34"/>
    </w:p>
    <w:p w14:paraId="1CCF3995" w14:textId="77777777" w:rsidR="00021F50" w:rsidRPr="00021F50" w:rsidRDefault="00021F50" w:rsidP="00021F5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Il servizio di illuminazione votiva dei cimiteri è continuativo.</w:t>
      </w:r>
    </w:p>
    <w:p w14:paraId="54E0D807" w14:textId="77777777" w:rsidR="00021F50" w:rsidRPr="00021F50" w:rsidRDefault="00021F50" w:rsidP="00021F5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Il Gestore del Servizio non assume alcuna responsabilità per le eventuali interruzioni o sospensioni di corrente da parte del fornitore, per guasti o danni da causa di forza maggiore o per riparazioni della rete, per fenomeni atmosferici, incendi, ecc., per disposizioni di limitazioni di consumi </w:t>
      </w:r>
      <w:proofErr w:type="gramStart"/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ecc..</w:t>
      </w:r>
      <w:proofErr w:type="gramEnd"/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 Per tali interruzioni non sono richiedibili </w:t>
      </w:r>
      <w:proofErr w:type="gramStart"/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dei  rimborsi</w:t>
      </w:r>
      <w:proofErr w:type="gramEnd"/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.</w:t>
      </w:r>
    </w:p>
    <w:p w14:paraId="50CC68A5" w14:textId="77777777" w:rsidR="00021F50" w:rsidRPr="00021F50" w:rsidRDefault="00021F50" w:rsidP="00021F50">
      <w:pPr>
        <w:widowControl w:val="0"/>
        <w:autoSpaceDE w:val="0"/>
        <w:autoSpaceDN w:val="0"/>
        <w:adjustRightInd w:val="0"/>
        <w:spacing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35" w:name="_Toc442779224"/>
      <w:bookmarkStart w:id="36" w:name="_Toc442777196"/>
      <w:bookmarkStart w:id="37" w:name="_Toc442822740"/>
      <w:bookmarkStart w:id="38" w:name="_Toc447062461"/>
      <w:bookmarkStart w:id="39" w:name="_Toc73872557"/>
      <w:bookmarkStart w:id="40" w:name="_Toc98939798"/>
      <w:bookmarkStart w:id="41" w:name="_Toc120619562"/>
      <w:r w:rsidRPr="00021F5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Esecuzione dell’impianto</w:t>
      </w:r>
      <w:bookmarkEnd w:id="35"/>
      <w:bookmarkEnd w:id="36"/>
      <w:bookmarkEnd w:id="37"/>
      <w:bookmarkEnd w:id="38"/>
      <w:bookmarkEnd w:id="39"/>
      <w:bookmarkEnd w:id="40"/>
      <w:bookmarkEnd w:id="41"/>
    </w:p>
    <w:p w14:paraId="4CD7758E" w14:textId="77777777" w:rsidR="00021F50" w:rsidRPr="00021F50" w:rsidRDefault="00021F50" w:rsidP="00021F50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Gli impianti sono eseguiti esclusivamente dal Comune o dalla ditta appaltatrice. Si intende che l'impianto riguarda soltanto l’installazione elettrica e cioè la fornitura e la posa in opera della conduttura di derivazione in cavetto fino al punto in cui dovrà essere applicato l'apparecchio illuminante, questo escluso. </w:t>
      </w:r>
    </w:p>
    <w:p w14:paraId="00C5ACD8" w14:textId="77777777" w:rsidR="00021F50" w:rsidRPr="00021F50" w:rsidRDefault="00021F50" w:rsidP="00021F50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Oltre al cavetto di derivazione, sarà fornita anche la lampadina elettrica di voltaggio uniforme e il collegamento dei conduttori con l'apparecchio illuminante. </w:t>
      </w:r>
    </w:p>
    <w:p w14:paraId="3A848F4B" w14:textId="77777777" w:rsidR="00021F50" w:rsidRPr="00021F50" w:rsidRDefault="00021F50" w:rsidP="00021F50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>Non sono ammesse soluzioni speciali di impianto diverse dalle standard per tombe private, cappelle o tombe di famiglia.</w:t>
      </w:r>
    </w:p>
    <w:p w14:paraId="0A7A0C43" w14:textId="77777777" w:rsidR="00021F50" w:rsidRPr="00021F50" w:rsidRDefault="00021F50" w:rsidP="00021F50">
      <w:pPr>
        <w:tabs>
          <w:tab w:val="left" w:pos="360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</w:p>
    <w:p w14:paraId="07352762" w14:textId="77777777" w:rsidR="00021F50" w:rsidRPr="00021F50" w:rsidRDefault="00021F50" w:rsidP="00021F50">
      <w:pPr>
        <w:tabs>
          <w:tab w:val="left" w:pos="360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</w:p>
    <w:p w14:paraId="1D348131" w14:textId="77777777" w:rsidR="00021F50" w:rsidRPr="00021F50" w:rsidRDefault="00021F50" w:rsidP="00021F50">
      <w:pPr>
        <w:widowControl w:val="0"/>
        <w:autoSpaceDE w:val="0"/>
        <w:autoSpaceDN w:val="0"/>
        <w:adjustRightInd w:val="0"/>
        <w:spacing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42" w:name="_Toc442779225"/>
      <w:bookmarkStart w:id="43" w:name="_Toc442777197"/>
      <w:bookmarkStart w:id="44" w:name="_Toc442822741"/>
      <w:bookmarkStart w:id="45" w:name="_Toc447062462"/>
      <w:bookmarkStart w:id="46" w:name="_Toc73872558"/>
      <w:bookmarkStart w:id="47" w:name="_Toc98939799"/>
      <w:bookmarkStart w:id="48" w:name="_Toc120619563"/>
      <w:r w:rsidRPr="00021F5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Lavori di manutenzione</w:t>
      </w:r>
      <w:bookmarkEnd w:id="42"/>
      <w:bookmarkEnd w:id="43"/>
      <w:bookmarkEnd w:id="44"/>
      <w:bookmarkEnd w:id="45"/>
      <w:bookmarkEnd w:id="46"/>
      <w:bookmarkEnd w:id="47"/>
      <w:bookmarkEnd w:id="48"/>
    </w:p>
    <w:p w14:paraId="024CFD30" w14:textId="77777777" w:rsidR="00021F50" w:rsidRPr="00021F50" w:rsidRDefault="00021F50" w:rsidP="00021F50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In caso di smontaggio di lapidi in relazione ad interventi nell'ambito della tomba (sepoltura a terra, loculo, cinerario, ossario, cappella, ecc.), l'intestatario del </w:t>
      </w:r>
      <w:r w:rsidRPr="00021F50">
        <w:rPr>
          <w:rFonts w:ascii="Times New Roman" w:eastAsia="Calibri" w:hAnsi="Times New Roman" w:cs="Times New Roman"/>
          <w:sz w:val="28"/>
          <w:szCs w:val="28"/>
          <w:lang w:eastAsia="it-IT"/>
        </w:rPr>
        <w:lastRenderedPageBreak/>
        <w:t>contratto di luce votiva dovrà dare preventiva comunicazione al Gestore del servizio stesso ai fini della conseguente e contestuale richiesta di scollegamento e poi di ricollegamento del servizio che possono essere svolti esclusivamente da addetti della gestione.</w:t>
      </w:r>
    </w:p>
    <w:p w14:paraId="5E99B962" w14:textId="77777777" w:rsidR="00021F50" w:rsidRPr="00021F50" w:rsidRDefault="00021F50" w:rsidP="00021F50">
      <w:pPr>
        <w:widowControl w:val="0"/>
        <w:autoSpaceDE w:val="0"/>
        <w:autoSpaceDN w:val="0"/>
        <w:adjustRightInd w:val="0"/>
        <w:spacing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49" w:name="_Toc442779226"/>
      <w:bookmarkStart w:id="50" w:name="_Toc442777198"/>
      <w:bookmarkStart w:id="51" w:name="_Toc442822742"/>
      <w:bookmarkStart w:id="52" w:name="_Toc447062463"/>
      <w:bookmarkStart w:id="53" w:name="_Toc73872559"/>
      <w:bookmarkStart w:id="54" w:name="_Toc98939800"/>
      <w:bookmarkStart w:id="55" w:name="_Toc120619564"/>
      <w:r w:rsidRPr="00021F5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Divieti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4A69BF1E" w14:textId="77777777" w:rsidR="00021F50" w:rsidRPr="00021F50" w:rsidRDefault="00021F50" w:rsidP="00021F50">
      <w:pPr>
        <w:numPr>
          <w:ilvl w:val="1"/>
          <w:numId w:val="0"/>
        </w:numPr>
        <w:spacing w:after="120" w:line="240" w:lineRule="auto"/>
        <w:jc w:val="both"/>
        <w:rPr>
          <w:rFonts w:ascii="Arial" w:eastAsia="Times New Roman" w:hAnsi="Arial" w:cs="Times New Roman"/>
          <w:noProof/>
          <w:sz w:val="24"/>
          <w:szCs w:val="24"/>
          <w:lang w:eastAsia="it-IT"/>
        </w:rPr>
      </w:pPr>
      <w:r w:rsidRPr="00021F50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t>E' assolutamente vietato all'utente asportare o cambiare le lampade, modificare o manomettere in qualsiasi modo l'impianto, eseguire attacchi abusivi, cedere o subaffittare la corrente e fare quanto possa in qualunque modo apportare variazioni all'impianto esistente. I contravventori saranno tenuti alla rimozione di quanto illecitamente eseguito, al risarcimento dei danni, fatta salva l'eventuale azione civile o penale da parte del Gestore del Servizio, il quale ha facoltà di interrompere il contratto di utenza e conseguentemente il servizio qualora l'utente dovesse compiere atti di vandalismo o abusi sugli impianti, con invio di preavviso scritto e successiva interruzione entro 15 gg. dalla data di ricezione riscontrata.</w:t>
      </w:r>
      <w:r w:rsidRPr="00021F50">
        <w:rPr>
          <w:rFonts w:ascii="Arial" w:eastAsia="Times New Roman" w:hAnsi="Arial" w:cs="Times New Roman"/>
          <w:noProof/>
          <w:sz w:val="24"/>
          <w:szCs w:val="24"/>
          <w:lang w:eastAsia="it-IT"/>
        </w:rPr>
        <w:t xml:space="preserve"> </w:t>
      </w:r>
    </w:p>
    <w:p w14:paraId="742F31A7" w14:textId="77777777" w:rsidR="00916DCE" w:rsidRDefault="00916DCE"/>
    <w:sectPr w:rsidR="00916DCE" w:rsidSect="005F1A05">
      <w:footerReference w:type="default" r:id="rId5"/>
      <w:footerReference w:type="first" r:id="rId6"/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BC90" w14:textId="77777777" w:rsidR="00A04D10" w:rsidRPr="006A05AA" w:rsidRDefault="00000000">
    <w:pPr>
      <w:pStyle w:val="Pidipagina"/>
      <w:jc w:val="center"/>
      <w:rPr>
        <w:rFonts w:ascii="Arial" w:hAnsi="Arial" w:cs="Arial"/>
      </w:rPr>
    </w:pPr>
    <w:r w:rsidRPr="006A05AA">
      <w:rPr>
        <w:rFonts w:ascii="Arial" w:hAnsi="Arial" w:cs="Arial"/>
      </w:rPr>
      <w:t xml:space="preserve">Pag. </w:t>
    </w:r>
    <w:r w:rsidRPr="006A05AA">
      <w:rPr>
        <w:rFonts w:ascii="Arial" w:hAnsi="Arial" w:cs="Arial"/>
        <w:b/>
        <w:bCs/>
        <w:sz w:val="24"/>
        <w:szCs w:val="24"/>
      </w:rPr>
      <w:fldChar w:fldCharType="begin"/>
    </w:r>
    <w:r w:rsidRPr="006A05AA">
      <w:rPr>
        <w:rFonts w:ascii="Arial" w:hAnsi="Arial" w:cs="Arial"/>
        <w:b/>
        <w:bCs/>
      </w:rPr>
      <w:instrText>PAGE</w:instrText>
    </w:r>
    <w:r w:rsidRPr="006A05A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21</w:t>
    </w:r>
    <w:r w:rsidRPr="006A05AA">
      <w:rPr>
        <w:rFonts w:ascii="Arial" w:hAnsi="Arial" w:cs="Arial"/>
        <w:b/>
        <w:bCs/>
        <w:sz w:val="24"/>
        <w:szCs w:val="24"/>
      </w:rPr>
      <w:fldChar w:fldCharType="end"/>
    </w:r>
    <w:r w:rsidRPr="006A05AA">
      <w:rPr>
        <w:rFonts w:ascii="Arial" w:hAnsi="Arial" w:cs="Arial"/>
      </w:rPr>
      <w:t xml:space="preserve"> </w:t>
    </w:r>
    <w:r>
      <w:rPr>
        <w:rFonts w:ascii="Arial" w:hAnsi="Arial" w:cs="Arial"/>
      </w:rPr>
      <w:t>di</w:t>
    </w:r>
    <w:r w:rsidRPr="006A05AA">
      <w:rPr>
        <w:rFonts w:ascii="Arial" w:hAnsi="Arial" w:cs="Arial"/>
      </w:rPr>
      <w:t xml:space="preserve"> </w:t>
    </w:r>
    <w:r w:rsidRPr="006A05AA">
      <w:rPr>
        <w:rFonts w:ascii="Arial" w:hAnsi="Arial" w:cs="Arial"/>
        <w:b/>
        <w:bCs/>
        <w:sz w:val="24"/>
        <w:szCs w:val="24"/>
      </w:rPr>
      <w:fldChar w:fldCharType="begin"/>
    </w:r>
    <w:r w:rsidRPr="006A05AA">
      <w:rPr>
        <w:rFonts w:ascii="Arial" w:hAnsi="Arial" w:cs="Arial"/>
        <w:b/>
        <w:bCs/>
      </w:rPr>
      <w:instrText>NUMPAGES</w:instrText>
    </w:r>
    <w:r w:rsidRPr="006A05A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92</w:t>
    </w:r>
    <w:r w:rsidRPr="006A05AA">
      <w:rPr>
        <w:rFonts w:ascii="Arial" w:hAnsi="Arial" w:cs="Arial"/>
        <w:b/>
        <w:bCs/>
        <w:sz w:val="24"/>
        <w:szCs w:val="24"/>
      </w:rPr>
      <w:fldChar w:fldCharType="end"/>
    </w:r>
  </w:p>
  <w:p w14:paraId="03AFB1EA" w14:textId="77777777" w:rsidR="00A04D10" w:rsidRPr="006A05AA" w:rsidRDefault="00000000">
    <w:pPr>
      <w:pStyle w:val="Pidipagin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086" w14:textId="77777777" w:rsidR="00A04D10" w:rsidRDefault="00000000">
    <w:pPr>
      <w:pStyle w:val="Pidipagina"/>
      <w:jc w:val="center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14:paraId="0964E010" w14:textId="77777777" w:rsidR="00A04D10" w:rsidRDefault="00000000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B2C"/>
    <w:multiLevelType w:val="hybridMultilevel"/>
    <w:tmpl w:val="59904ADC"/>
    <w:lvl w:ilvl="0" w:tplc="6D12E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A5A06"/>
    <w:multiLevelType w:val="hybridMultilevel"/>
    <w:tmpl w:val="D218880E"/>
    <w:lvl w:ilvl="0" w:tplc="6D12E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C67EA"/>
    <w:multiLevelType w:val="hybridMultilevel"/>
    <w:tmpl w:val="AE34AF60"/>
    <w:lvl w:ilvl="0" w:tplc="6D12E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702C6"/>
    <w:multiLevelType w:val="hybridMultilevel"/>
    <w:tmpl w:val="1E505438"/>
    <w:lvl w:ilvl="0" w:tplc="6D12E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76688"/>
    <w:multiLevelType w:val="hybridMultilevel"/>
    <w:tmpl w:val="94B212AC"/>
    <w:lvl w:ilvl="0" w:tplc="6D12E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266159"/>
    <w:multiLevelType w:val="hybridMultilevel"/>
    <w:tmpl w:val="328CA364"/>
    <w:lvl w:ilvl="0" w:tplc="8786904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83DE7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9653D"/>
    <w:multiLevelType w:val="hybridMultilevel"/>
    <w:tmpl w:val="4DCE32AE"/>
    <w:lvl w:ilvl="0" w:tplc="6D12E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A32A04"/>
    <w:multiLevelType w:val="hybridMultilevel"/>
    <w:tmpl w:val="2A88071C"/>
    <w:lvl w:ilvl="0" w:tplc="6D12E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6013843">
    <w:abstractNumId w:val="0"/>
  </w:num>
  <w:num w:numId="2" w16cid:durableId="1938783555">
    <w:abstractNumId w:val="1"/>
  </w:num>
  <w:num w:numId="3" w16cid:durableId="888028547">
    <w:abstractNumId w:val="2"/>
  </w:num>
  <w:num w:numId="4" w16cid:durableId="390159193">
    <w:abstractNumId w:val="7"/>
  </w:num>
  <w:num w:numId="5" w16cid:durableId="866135123">
    <w:abstractNumId w:val="4"/>
  </w:num>
  <w:num w:numId="6" w16cid:durableId="381295394">
    <w:abstractNumId w:val="3"/>
  </w:num>
  <w:num w:numId="7" w16cid:durableId="574246132">
    <w:abstractNumId w:val="6"/>
  </w:num>
  <w:num w:numId="8" w16cid:durableId="1722047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50"/>
    <w:rsid w:val="00021F50"/>
    <w:rsid w:val="00916DCE"/>
    <w:rsid w:val="009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156C"/>
  <w15:chartTrackingRefBased/>
  <w15:docId w15:val="{F5672F8E-7C37-4601-9AE7-C79FB405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21F50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F50"/>
    <w:rPr>
      <w:rFonts w:ascii="Calibri" w:eastAsia="Times New Roman" w:hAnsi="Calibr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Castigliego - Patrimonio e Ambiente - Comune di Olgiate Comasco</dc:creator>
  <cp:keywords/>
  <dc:description/>
  <cp:lastModifiedBy>Rosaria Castigliego - Patrimonio e Ambiente - Comune di Olgiate Comasco</cp:lastModifiedBy>
  <cp:revision>1</cp:revision>
  <dcterms:created xsi:type="dcterms:W3CDTF">2023-01-12T12:14:00Z</dcterms:created>
  <dcterms:modified xsi:type="dcterms:W3CDTF">2023-01-12T12:15:00Z</dcterms:modified>
</cp:coreProperties>
</file>