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09" w:rsidRDefault="008E74EA" w:rsidP="00DC4DBF">
      <w:pPr>
        <w:spacing w:after="0" w:line="240" w:lineRule="auto"/>
        <w:jc w:val="center"/>
        <w:rPr>
          <w:rFonts w:ascii="Cambria" w:eastAsia="Calibri" w:hAnsi="Cambria" w:cs="Times New Roman"/>
          <w:bCs/>
          <w:noProof/>
          <w:lang w:eastAsia="it-IT"/>
        </w:rPr>
      </w:pPr>
      <w:r>
        <w:rPr>
          <w:noProof/>
          <w:lang w:eastAsia="it-IT"/>
        </w:rPr>
        <w:drawing>
          <wp:inline distT="0" distB="0" distL="0" distR="0">
            <wp:extent cx="838200" cy="1095375"/>
            <wp:effectExtent l="0" t="0" r="0" b="9525"/>
            <wp:docPr id="2" name="Immagine 2" descr="stemma pescarolo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escarolo colo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p w:rsidR="004B41E2" w:rsidRPr="00CB2CE9" w:rsidRDefault="004B41E2" w:rsidP="00DC4DBF">
      <w:pPr>
        <w:spacing w:after="0" w:line="240" w:lineRule="auto"/>
        <w:jc w:val="center"/>
        <w:rPr>
          <w:rFonts w:ascii="Cambria" w:eastAsia="Calibri" w:hAnsi="Cambria" w:cs="Times New Roman"/>
          <w:bCs/>
        </w:rPr>
      </w:pPr>
    </w:p>
    <w:p w:rsidR="0052703D" w:rsidRDefault="000D7FB3" w:rsidP="00DC4DBF">
      <w:pPr>
        <w:spacing w:after="0" w:line="240" w:lineRule="auto"/>
        <w:jc w:val="center"/>
        <w:rPr>
          <w:rFonts w:ascii="Cambria" w:hAnsi="Cambria"/>
        </w:rPr>
      </w:pPr>
      <w:r>
        <w:rPr>
          <w:rFonts w:ascii="Cambria" w:hAnsi="Cambria"/>
        </w:rPr>
        <w:t>Allegato sub A) alla deliberazione di G.C. nr 44 del 18.05.2015</w:t>
      </w:r>
    </w:p>
    <w:p w:rsidR="000D7FB3" w:rsidRDefault="000D7FB3" w:rsidP="00DC4DBF">
      <w:pPr>
        <w:spacing w:after="0" w:line="240" w:lineRule="auto"/>
        <w:jc w:val="center"/>
        <w:rPr>
          <w:rFonts w:ascii="Cambria" w:hAnsi="Cambria"/>
        </w:rPr>
      </w:pPr>
    </w:p>
    <w:p w:rsidR="000D7FB3" w:rsidRDefault="000D7FB3" w:rsidP="00DC4DBF">
      <w:pPr>
        <w:spacing w:after="0" w:line="240" w:lineRule="auto"/>
        <w:jc w:val="center"/>
        <w:rPr>
          <w:rFonts w:ascii="Cambria" w:hAnsi="Cambria"/>
        </w:rPr>
      </w:pPr>
      <w:r>
        <w:rPr>
          <w:rFonts w:ascii="Cambria" w:hAnsi="Cambria"/>
        </w:rPr>
        <w:t>Il Sindaco                                                        Il Segretario Comunale</w:t>
      </w:r>
    </w:p>
    <w:p w:rsidR="000D7FB3" w:rsidRDefault="000D7FB3" w:rsidP="00DC4DBF">
      <w:pPr>
        <w:spacing w:after="0" w:line="240" w:lineRule="auto"/>
        <w:jc w:val="center"/>
        <w:rPr>
          <w:rFonts w:ascii="Cambria" w:hAnsi="Cambria"/>
        </w:rPr>
      </w:pPr>
      <w:r>
        <w:rPr>
          <w:rFonts w:ascii="Cambria" w:hAnsi="Cambria"/>
        </w:rPr>
        <w:t>Graziano Cominetti                                dott.ssa Anna Maria Bianca Arcuri</w:t>
      </w:r>
    </w:p>
    <w:p w:rsidR="0052703D" w:rsidRDefault="0052703D" w:rsidP="00DC4DBF">
      <w:pPr>
        <w:spacing w:after="0" w:line="240" w:lineRule="auto"/>
        <w:jc w:val="center"/>
        <w:rPr>
          <w:rFonts w:ascii="Cambria" w:hAnsi="Cambria"/>
        </w:rPr>
      </w:pPr>
    </w:p>
    <w:p w:rsidR="0052703D" w:rsidRDefault="0052703D" w:rsidP="00DC4DBF">
      <w:pPr>
        <w:spacing w:after="0" w:line="240" w:lineRule="auto"/>
        <w:jc w:val="center"/>
        <w:rPr>
          <w:rFonts w:ascii="Cambria" w:hAnsi="Cambria"/>
        </w:rPr>
      </w:pPr>
    </w:p>
    <w:p w:rsidR="00CB2CE9" w:rsidRDefault="00CB2CE9" w:rsidP="00DC4DBF">
      <w:pPr>
        <w:spacing w:after="0" w:line="240" w:lineRule="auto"/>
        <w:jc w:val="center"/>
        <w:rPr>
          <w:rFonts w:ascii="Cambria" w:hAnsi="Cambria"/>
        </w:rPr>
      </w:pPr>
    </w:p>
    <w:p w:rsidR="00CB2CE9" w:rsidRDefault="00CB2CE9" w:rsidP="00DC4DBF">
      <w:pPr>
        <w:spacing w:after="0" w:line="240" w:lineRule="auto"/>
        <w:jc w:val="center"/>
        <w:rPr>
          <w:rFonts w:ascii="Cambria" w:hAnsi="Cambria"/>
        </w:rPr>
      </w:pPr>
    </w:p>
    <w:p w:rsidR="00DB07B0" w:rsidRDefault="00DB07B0" w:rsidP="00DC4DBF">
      <w:pPr>
        <w:spacing w:after="0" w:line="240" w:lineRule="auto"/>
        <w:jc w:val="center"/>
        <w:rPr>
          <w:rFonts w:ascii="Cambria" w:hAnsi="Cambria"/>
        </w:rPr>
      </w:pPr>
    </w:p>
    <w:p w:rsidR="00471409" w:rsidRPr="00CB2CE9" w:rsidRDefault="00471409" w:rsidP="00DC4DBF">
      <w:pPr>
        <w:pStyle w:val="Titolo1"/>
        <w:spacing w:before="0" w:line="240" w:lineRule="auto"/>
        <w:jc w:val="center"/>
        <w:rPr>
          <w:rFonts w:ascii="Cambria" w:hAnsi="Cambria"/>
          <w:color w:val="auto"/>
          <w:sz w:val="22"/>
          <w:szCs w:val="22"/>
        </w:rPr>
      </w:pPr>
      <w:bookmarkStart w:id="0" w:name="_GoBack"/>
      <w:bookmarkEnd w:id="0"/>
    </w:p>
    <w:p w:rsidR="00DB07B0" w:rsidRPr="00CB2CE9" w:rsidRDefault="00DB07B0" w:rsidP="00DC4DBF">
      <w:pPr>
        <w:spacing w:after="0" w:line="240" w:lineRule="auto"/>
        <w:jc w:val="center"/>
        <w:rPr>
          <w:rFonts w:ascii="Cambria" w:hAnsi="Cambria"/>
        </w:rPr>
      </w:pPr>
    </w:p>
    <w:p w:rsidR="00DB07B0" w:rsidRPr="00CB2CE9" w:rsidRDefault="00DB07B0" w:rsidP="00DC4DBF">
      <w:pPr>
        <w:spacing w:after="0" w:line="240" w:lineRule="auto"/>
        <w:jc w:val="center"/>
        <w:rPr>
          <w:rFonts w:ascii="Cambria" w:hAnsi="Cambria"/>
        </w:rPr>
      </w:pPr>
    </w:p>
    <w:p w:rsidR="00CB2CE9" w:rsidRPr="00CB2CE9" w:rsidRDefault="0061366A" w:rsidP="00B91215">
      <w:pPr>
        <w:pStyle w:val="Titolo1"/>
        <w:spacing w:before="0" w:line="240" w:lineRule="auto"/>
        <w:jc w:val="center"/>
        <w:rPr>
          <w:rFonts w:ascii="Cambria" w:eastAsia="Calibri" w:hAnsi="Cambria" w:cs="Times New Roman"/>
          <w:b/>
          <w:color w:val="9A0000"/>
          <w:w w:val="150"/>
          <w:sz w:val="48"/>
          <w:szCs w:val="48"/>
        </w:rPr>
      </w:pPr>
      <w:bookmarkStart w:id="1" w:name="_Toc411839785"/>
      <w:r>
        <w:rPr>
          <w:rFonts w:ascii="Cambria" w:eastAsia="Calibri" w:hAnsi="Cambria" w:cs="Times New Roman"/>
          <w:b/>
          <w:color w:val="9A0000"/>
          <w:w w:val="150"/>
          <w:sz w:val="48"/>
          <w:szCs w:val="48"/>
        </w:rPr>
        <w:t>S</w:t>
      </w:r>
      <w:r w:rsidRPr="0061366A">
        <w:rPr>
          <w:rFonts w:ascii="Cambria" w:eastAsia="Calibri" w:hAnsi="Cambria" w:cs="Times New Roman"/>
          <w:b/>
          <w:color w:val="9A0000"/>
          <w:w w:val="150"/>
          <w:sz w:val="48"/>
          <w:szCs w:val="48"/>
        </w:rPr>
        <w:t xml:space="preserve">istema </w:t>
      </w:r>
      <w:r>
        <w:rPr>
          <w:rFonts w:ascii="Cambria" w:eastAsia="Calibri" w:hAnsi="Cambria" w:cs="Times New Roman"/>
          <w:b/>
          <w:color w:val="9A0000"/>
          <w:w w:val="150"/>
          <w:sz w:val="48"/>
          <w:szCs w:val="48"/>
        </w:rPr>
        <w:t>di</w:t>
      </w:r>
      <w:r w:rsidR="002C277F" w:rsidRPr="00CB2CE9">
        <w:rPr>
          <w:rFonts w:ascii="Cambria" w:eastAsia="Calibri" w:hAnsi="Cambria" w:cs="Times New Roman"/>
          <w:b/>
          <w:color w:val="9A0000"/>
          <w:w w:val="150"/>
          <w:sz w:val="48"/>
          <w:szCs w:val="48"/>
        </w:rPr>
        <w:t xml:space="preserve"> valutazione</w:t>
      </w:r>
    </w:p>
    <w:p w:rsidR="004B5BB2" w:rsidRPr="00CB2CE9" w:rsidRDefault="002C277F" w:rsidP="00B91215">
      <w:pPr>
        <w:pStyle w:val="Titolo1"/>
        <w:spacing w:before="0" w:line="240" w:lineRule="auto"/>
        <w:jc w:val="center"/>
        <w:rPr>
          <w:rFonts w:ascii="Cambria" w:eastAsia="Calibri" w:hAnsi="Cambria" w:cs="Times New Roman"/>
          <w:b/>
          <w:color w:val="9A0000"/>
          <w:sz w:val="40"/>
          <w:szCs w:val="40"/>
        </w:rPr>
      </w:pPr>
      <w:r w:rsidRPr="00CB2CE9">
        <w:rPr>
          <w:rFonts w:ascii="Cambria" w:eastAsia="Calibri" w:hAnsi="Cambria" w:cs="Times New Roman"/>
          <w:b/>
          <w:color w:val="9A0000"/>
          <w:w w:val="150"/>
          <w:sz w:val="48"/>
          <w:szCs w:val="48"/>
        </w:rPr>
        <w:t>della performance</w:t>
      </w:r>
      <w:bookmarkEnd w:id="1"/>
    </w:p>
    <w:p w:rsidR="00CB2CE9" w:rsidRDefault="00CB2CE9" w:rsidP="00CB2CE9">
      <w:pPr>
        <w:spacing w:after="0" w:line="240" w:lineRule="auto"/>
        <w:jc w:val="center"/>
        <w:rPr>
          <w:rFonts w:ascii="Cambria" w:hAnsi="Cambria"/>
        </w:rPr>
      </w:pPr>
    </w:p>
    <w:p w:rsidR="00CB2CE9" w:rsidRDefault="00CB2CE9" w:rsidP="00CB2CE9">
      <w:pPr>
        <w:spacing w:after="0" w:line="240" w:lineRule="auto"/>
        <w:jc w:val="center"/>
        <w:rPr>
          <w:rFonts w:ascii="Cambria" w:hAnsi="Cambria"/>
        </w:rPr>
      </w:pPr>
    </w:p>
    <w:p w:rsidR="00CB2CE9" w:rsidRDefault="00CB2CE9" w:rsidP="00CB2CE9">
      <w:pPr>
        <w:spacing w:after="0" w:line="240" w:lineRule="auto"/>
        <w:jc w:val="center"/>
        <w:rPr>
          <w:rFonts w:ascii="Cambria" w:hAnsi="Cambria"/>
        </w:rPr>
      </w:pPr>
    </w:p>
    <w:p w:rsidR="00CB2CE9" w:rsidRDefault="00CB2CE9" w:rsidP="00CB2CE9">
      <w:pPr>
        <w:spacing w:after="0" w:line="240" w:lineRule="auto"/>
        <w:jc w:val="center"/>
        <w:rPr>
          <w:rFonts w:ascii="Cambria" w:hAnsi="Cambria"/>
        </w:rPr>
      </w:pPr>
    </w:p>
    <w:p w:rsidR="00CB2CE9" w:rsidRDefault="00CB2CE9" w:rsidP="00CB2CE9">
      <w:pPr>
        <w:spacing w:after="0" w:line="240" w:lineRule="auto"/>
        <w:jc w:val="center"/>
        <w:rPr>
          <w:rFonts w:ascii="Cambria" w:hAnsi="Cambria"/>
        </w:rPr>
      </w:pPr>
    </w:p>
    <w:p w:rsidR="00CB2CE9" w:rsidRDefault="00CB2CE9" w:rsidP="00CB2CE9">
      <w:pPr>
        <w:spacing w:after="0" w:line="240" w:lineRule="auto"/>
        <w:jc w:val="center"/>
        <w:rPr>
          <w:rFonts w:ascii="Cambria" w:hAnsi="Cambria"/>
        </w:rPr>
      </w:pPr>
    </w:p>
    <w:p w:rsidR="00CB2CE9" w:rsidRDefault="00CB2CE9" w:rsidP="00CB2CE9">
      <w:pPr>
        <w:spacing w:after="0" w:line="240" w:lineRule="auto"/>
        <w:jc w:val="center"/>
        <w:rPr>
          <w:rFonts w:ascii="Cambria" w:hAnsi="Cambria"/>
        </w:rPr>
      </w:pPr>
    </w:p>
    <w:p w:rsidR="00CB2CE9" w:rsidRDefault="00CB2CE9" w:rsidP="00CB2CE9">
      <w:pPr>
        <w:spacing w:after="0" w:line="240" w:lineRule="auto"/>
        <w:jc w:val="center"/>
        <w:rPr>
          <w:rFonts w:ascii="Cambria" w:hAnsi="Cambria"/>
        </w:rPr>
      </w:pPr>
    </w:p>
    <w:p w:rsidR="00755F94" w:rsidRPr="00CB2CE9" w:rsidRDefault="00755F94" w:rsidP="00CB2CE9">
      <w:pPr>
        <w:spacing w:after="0" w:line="240" w:lineRule="auto"/>
        <w:jc w:val="center"/>
        <w:rPr>
          <w:rFonts w:ascii="Cambria" w:hAnsi="Cambria"/>
        </w:rPr>
      </w:pPr>
    </w:p>
    <w:tbl>
      <w:tblPr>
        <w:tblStyle w:val="Grigliatabella"/>
        <w:tblW w:w="0" w:type="auto"/>
        <w:jc w:val="center"/>
        <w:tblCellMar>
          <w:top w:w="142" w:type="dxa"/>
          <w:left w:w="340" w:type="dxa"/>
          <w:bottom w:w="142" w:type="dxa"/>
          <w:right w:w="340" w:type="dxa"/>
        </w:tblCellMar>
        <w:tblLook w:val="04A0" w:firstRow="1" w:lastRow="0" w:firstColumn="1" w:lastColumn="0" w:noHBand="0" w:noVBand="1"/>
      </w:tblPr>
      <w:tblGrid>
        <w:gridCol w:w="6332"/>
      </w:tblGrid>
      <w:tr w:rsidR="00CB2CE9" w:rsidTr="00CB2CE9">
        <w:trPr>
          <w:jc w:val="center"/>
        </w:trPr>
        <w:tc>
          <w:tcPr>
            <w:tcW w:w="6332" w:type="dxa"/>
          </w:tcPr>
          <w:p w:rsidR="00CB2CE9" w:rsidRPr="00B05CC3" w:rsidRDefault="00CB2CE9" w:rsidP="00CB2CE9">
            <w:pPr>
              <w:pStyle w:val="Titolo1"/>
              <w:spacing w:before="0"/>
              <w:jc w:val="center"/>
              <w:outlineLvl w:val="0"/>
              <w:rPr>
                <w:rFonts w:ascii="Cambria" w:hAnsi="Cambria"/>
                <w:b/>
                <w:color w:val="990000"/>
                <w:sz w:val="28"/>
                <w:szCs w:val="28"/>
              </w:rPr>
            </w:pPr>
            <w:r w:rsidRPr="00B05CC3">
              <w:rPr>
                <w:rFonts w:ascii="Cambria" w:hAnsi="Cambria"/>
                <w:b/>
                <w:color w:val="990000"/>
                <w:sz w:val="28"/>
                <w:szCs w:val="28"/>
              </w:rPr>
              <w:t>Sommario</w:t>
            </w:r>
          </w:p>
          <w:p w:rsidR="00CB2CE9" w:rsidRPr="00CB2CE9" w:rsidRDefault="00CB2CE9" w:rsidP="00CB2CE9">
            <w:pPr>
              <w:spacing w:before="120"/>
              <w:jc w:val="both"/>
              <w:rPr>
                <w:rFonts w:ascii="Cambria" w:hAnsi="Cambria"/>
              </w:rPr>
            </w:pPr>
            <w:r>
              <w:rPr>
                <w:rFonts w:ascii="Cambria" w:hAnsi="Cambria"/>
              </w:rPr>
              <w:t>I</w:t>
            </w:r>
            <w:r w:rsidRPr="00CB2CE9">
              <w:rPr>
                <w:rFonts w:ascii="Cambria" w:hAnsi="Cambria"/>
              </w:rPr>
              <w:t>ntroduzione</w:t>
            </w:r>
          </w:p>
          <w:p w:rsidR="00CB2CE9" w:rsidRPr="00CB2CE9" w:rsidRDefault="00CB2CE9" w:rsidP="00CB2CE9">
            <w:pPr>
              <w:spacing w:before="80"/>
              <w:ind w:left="284" w:hanging="284"/>
              <w:jc w:val="both"/>
              <w:rPr>
                <w:rFonts w:ascii="Cambria" w:hAnsi="Cambria"/>
              </w:rPr>
            </w:pPr>
            <w:r w:rsidRPr="00CB2CE9">
              <w:rPr>
                <w:rFonts w:ascii="Cambria" w:hAnsi="Cambria"/>
              </w:rPr>
              <w:t>1.</w:t>
            </w:r>
            <w:r w:rsidRPr="00CB2CE9">
              <w:rPr>
                <w:rFonts w:ascii="Cambria" w:hAnsi="Cambria"/>
              </w:rPr>
              <w:tab/>
              <w:t>Contenuti ed ambiti</w:t>
            </w:r>
          </w:p>
          <w:p w:rsidR="00CB2CE9" w:rsidRPr="00CB2CE9" w:rsidRDefault="00CB2CE9" w:rsidP="00CB2CE9">
            <w:pPr>
              <w:ind w:left="284"/>
              <w:jc w:val="both"/>
              <w:rPr>
                <w:rFonts w:ascii="Cambria" w:hAnsi="Cambria"/>
              </w:rPr>
            </w:pPr>
            <w:r w:rsidRPr="00CB2CE9">
              <w:rPr>
                <w:rFonts w:ascii="Cambria" w:hAnsi="Cambria"/>
              </w:rPr>
              <w:t>1.1. I fattori di apprezzamento</w:t>
            </w:r>
          </w:p>
          <w:p w:rsidR="00CB2CE9" w:rsidRPr="00CB2CE9" w:rsidRDefault="00CB2CE9" w:rsidP="00CB2CE9">
            <w:pPr>
              <w:ind w:left="284"/>
              <w:jc w:val="both"/>
              <w:rPr>
                <w:rFonts w:ascii="Cambria" w:hAnsi="Cambria"/>
              </w:rPr>
            </w:pPr>
            <w:r w:rsidRPr="00CB2CE9">
              <w:rPr>
                <w:rFonts w:ascii="Cambria" w:hAnsi="Cambria"/>
              </w:rPr>
              <w:t>1.2. Il contesto</w:t>
            </w:r>
          </w:p>
          <w:p w:rsidR="00CB2CE9" w:rsidRPr="00CB2CE9" w:rsidRDefault="00CB2CE9" w:rsidP="00CB2CE9">
            <w:pPr>
              <w:spacing w:before="80"/>
              <w:ind w:left="284" w:hanging="284"/>
              <w:jc w:val="both"/>
              <w:rPr>
                <w:rFonts w:ascii="Cambria" w:hAnsi="Cambria"/>
              </w:rPr>
            </w:pPr>
            <w:r w:rsidRPr="00CB2CE9">
              <w:rPr>
                <w:rFonts w:ascii="Cambria" w:hAnsi="Cambria"/>
              </w:rPr>
              <w:t>2.</w:t>
            </w:r>
            <w:r w:rsidRPr="00CB2CE9">
              <w:rPr>
                <w:rFonts w:ascii="Cambria" w:hAnsi="Cambria"/>
              </w:rPr>
              <w:tab/>
              <w:t>Il soggetti competenti per la valutazione</w:t>
            </w:r>
          </w:p>
          <w:p w:rsidR="00CB2CE9" w:rsidRPr="00CB2CE9" w:rsidRDefault="00CB2CE9" w:rsidP="00CB2CE9">
            <w:pPr>
              <w:spacing w:before="80"/>
              <w:ind w:left="284" w:hanging="284"/>
              <w:jc w:val="both"/>
              <w:rPr>
                <w:rFonts w:ascii="Cambria" w:hAnsi="Cambria"/>
              </w:rPr>
            </w:pPr>
            <w:r w:rsidRPr="00CB2CE9">
              <w:rPr>
                <w:rFonts w:ascii="Cambria" w:hAnsi="Cambria"/>
              </w:rPr>
              <w:t>3.</w:t>
            </w:r>
            <w:r w:rsidRPr="00CB2CE9">
              <w:rPr>
                <w:rFonts w:ascii="Cambria" w:hAnsi="Cambria"/>
              </w:rPr>
              <w:tab/>
              <w:t>Il processo di valutazione</w:t>
            </w:r>
          </w:p>
          <w:p w:rsidR="00CB2CE9" w:rsidRPr="00CB2CE9" w:rsidRDefault="00CB2CE9" w:rsidP="00CB2CE9">
            <w:pPr>
              <w:spacing w:before="80"/>
              <w:ind w:left="284" w:hanging="284"/>
              <w:jc w:val="both"/>
              <w:rPr>
                <w:rFonts w:ascii="Cambria" w:hAnsi="Cambria"/>
              </w:rPr>
            </w:pPr>
            <w:r w:rsidRPr="00CB2CE9">
              <w:rPr>
                <w:rFonts w:ascii="Cambria" w:hAnsi="Cambria"/>
              </w:rPr>
              <w:t>4.</w:t>
            </w:r>
            <w:r w:rsidRPr="00CB2CE9">
              <w:rPr>
                <w:rFonts w:ascii="Cambria" w:hAnsi="Cambria"/>
              </w:rPr>
              <w:tab/>
              <w:t>La valutazione dei Responsabili di servizio</w:t>
            </w:r>
          </w:p>
          <w:p w:rsidR="00CB2CE9" w:rsidRPr="00CB2CE9" w:rsidRDefault="00CB2CE9" w:rsidP="00CB2CE9">
            <w:pPr>
              <w:spacing w:before="80"/>
              <w:ind w:left="284" w:hanging="284"/>
              <w:jc w:val="both"/>
              <w:rPr>
                <w:rFonts w:ascii="Cambria" w:hAnsi="Cambria"/>
              </w:rPr>
            </w:pPr>
            <w:r w:rsidRPr="00CB2CE9">
              <w:rPr>
                <w:rFonts w:ascii="Cambria" w:hAnsi="Cambria"/>
              </w:rPr>
              <w:t>5.</w:t>
            </w:r>
            <w:r w:rsidRPr="00CB2CE9">
              <w:rPr>
                <w:rFonts w:ascii="Cambria" w:hAnsi="Cambria"/>
              </w:rPr>
              <w:tab/>
              <w:t>La valutazione dei dipendenti</w:t>
            </w:r>
          </w:p>
          <w:p w:rsidR="00CB2CE9" w:rsidRPr="00CB2CE9" w:rsidRDefault="00CB2CE9" w:rsidP="00CB2CE9">
            <w:pPr>
              <w:spacing w:before="80"/>
              <w:ind w:left="284" w:hanging="284"/>
              <w:jc w:val="both"/>
              <w:rPr>
                <w:rFonts w:ascii="Cambria" w:hAnsi="Cambria"/>
              </w:rPr>
            </w:pPr>
            <w:r w:rsidRPr="00CB2CE9">
              <w:rPr>
                <w:rFonts w:ascii="Cambria" w:hAnsi="Cambria"/>
              </w:rPr>
              <w:t>6.</w:t>
            </w:r>
            <w:r w:rsidRPr="00CB2CE9">
              <w:rPr>
                <w:rFonts w:ascii="Cambria" w:hAnsi="Cambria"/>
              </w:rPr>
              <w:tab/>
              <w:t>Il raccordo tra valutazione e compensi</w:t>
            </w:r>
          </w:p>
          <w:p w:rsidR="00CB2CE9" w:rsidRPr="00CB2CE9" w:rsidRDefault="00CB2CE9" w:rsidP="00CB2CE9">
            <w:pPr>
              <w:spacing w:before="80"/>
              <w:ind w:left="284" w:hanging="284"/>
              <w:jc w:val="both"/>
              <w:rPr>
                <w:rFonts w:ascii="Cambria" w:hAnsi="Cambria"/>
              </w:rPr>
            </w:pPr>
            <w:r w:rsidRPr="00CB2CE9">
              <w:rPr>
                <w:rFonts w:ascii="Cambria" w:hAnsi="Cambria"/>
              </w:rPr>
              <w:t>7.</w:t>
            </w:r>
            <w:r w:rsidRPr="00CB2CE9">
              <w:rPr>
                <w:rFonts w:ascii="Cambria" w:hAnsi="Cambria"/>
              </w:rPr>
              <w:tab/>
              <w:t>Le procedure di riesame delle valutazioni</w:t>
            </w:r>
          </w:p>
          <w:p w:rsidR="00CB2CE9" w:rsidRDefault="00CB2CE9" w:rsidP="00CB2CE9">
            <w:pPr>
              <w:spacing w:before="80"/>
              <w:ind w:left="284" w:hanging="284"/>
              <w:jc w:val="both"/>
              <w:rPr>
                <w:rFonts w:ascii="Cambria" w:hAnsi="Cambria"/>
              </w:rPr>
            </w:pPr>
            <w:r w:rsidRPr="00CB2CE9">
              <w:rPr>
                <w:rFonts w:ascii="Cambria" w:hAnsi="Cambria"/>
              </w:rPr>
              <w:t>Allegati</w:t>
            </w:r>
          </w:p>
          <w:p w:rsidR="0052703D" w:rsidRPr="005E217B" w:rsidRDefault="0052703D" w:rsidP="00B05CC3">
            <w:pPr>
              <w:pStyle w:val="Paragrafoelenco"/>
              <w:numPr>
                <w:ilvl w:val="0"/>
                <w:numId w:val="25"/>
              </w:numPr>
              <w:ind w:left="568" w:hanging="284"/>
              <w:contextualSpacing w:val="0"/>
              <w:rPr>
                <w:rFonts w:ascii="Cambria" w:hAnsi="Cambria"/>
              </w:rPr>
            </w:pPr>
            <w:r w:rsidRPr="005E217B">
              <w:rPr>
                <w:rFonts w:ascii="Cambria" w:hAnsi="Cambria"/>
              </w:rPr>
              <w:t>Scheda di valutazione per i Responsabili di servizio</w:t>
            </w:r>
          </w:p>
          <w:p w:rsidR="0052703D" w:rsidRPr="0052703D" w:rsidRDefault="0052703D" w:rsidP="00B05CC3">
            <w:pPr>
              <w:pStyle w:val="Paragrafoelenco"/>
              <w:numPr>
                <w:ilvl w:val="0"/>
                <w:numId w:val="25"/>
              </w:numPr>
              <w:ind w:left="568" w:hanging="284"/>
              <w:contextualSpacing w:val="0"/>
              <w:rPr>
                <w:rFonts w:ascii="Cambria" w:hAnsi="Cambria"/>
              </w:rPr>
            </w:pPr>
            <w:r w:rsidRPr="005E217B">
              <w:rPr>
                <w:rFonts w:ascii="Cambria" w:hAnsi="Cambria"/>
              </w:rPr>
              <w:t>Scheda di valutazione per i dipendenti</w:t>
            </w:r>
          </w:p>
        </w:tc>
      </w:tr>
    </w:tbl>
    <w:p w:rsidR="00755F94" w:rsidRDefault="00755F94" w:rsidP="004B41E2">
      <w:pPr>
        <w:spacing w:after="0" w:line="240" w:lineRule="auto"/>
        <w:jc w:val="center"/>
        <w:rPr>
          <w:rFonts w:ascii="Cambria" w:hAnsi="Cambria"/>
          <w:color w:val="9A0000"/>
        </w:rPr>
      </w:pPr>
    </w:p>
    <w:p w:rsidR="004B41E2" w:rsidRDefault="004B41E2" w:rsidP="004B41E2">
      <w:pPr>
        <w:spacing w:after="0" w:line="240" w:lineRule="auto"/>
        <w:jc w:val="center"/>
        <w:rPr>
          <w:rFonts w:ascii="Cambria" w:hAnsi="Cambria"/>
          <w:color w:val="9A0000"/>
        </w:rPr>
      </w:pPr>
    </w:p>
    <w:p w:rsidR="004B41E2" w:rsidRDefault="004B41E2" w:rsidP="00E35528">
      <w:pPr>
        <w:pStyle w:val="Titolo1"/>
        <w:spacing w:before="0" w:line="240" w:lineRule="auto"/>
        <w:rPr>
          <w:rFonts w:ascii="Cambria" w:hAnsi="Cambria"/>
          <w:b/>
          <w:color w:val="990000"/>
          <w:sz w:val="28"/>
          <w:szCs w:val="28"/>
        </w:rPr>
        <w:sectPr w:rsidR="004B41E2" w:rsidSect="008E74EA">
          <w:headerReference w:type="default" r:id="rId10"/>
          <w:footerReference w:type="default" r:id="rId11"/>
          <w:pgSz w:w="11906" w:h="16838" w:code="9"/>
          <w:pgMar w:top="1276" w:right="1418" w:bottom="680" w:left="1418" w:header="454" w:footer="567" w:gutter="0"/>
          <w:pgBorders w:offsetFrom="page">
            <w:top w:val="single" w:sz="2" w:space="24" w:color="C00000"/>
            <w:left w:val="single" w:sz="2" w:space="24" w:color="C00000"/>
            <w:bottom w:val="single" w:sz="2" w:space="24" w:color="C00000"/>
            <w:right w:val="single" w:sz="2" w:space="24" w:color="C00000"/>
          </w:pgBorders>
          <w:cols w:space="708"/>
          <w:titlePg/>
          <w:docGrid w:linePitch="360"/>
        </w:sectPr>
      </w:pPr>
      <w:bookmarkStart w:id="2" w:name="_Toc411839786"/>
    </w:p>
    <w:p w:rsidR="005159B9" w:rsidRPr="00CB2CE9" w:rsidRDefault="005159B9" w:rsidP="00E35528">
      <w:pPr>
        <w:pStyle w:val="Titolo1"/>
        <w:spacing w:before="0" w:line="240" w:lineRule="auto"/>
        <w:rPr>
          <w:rFonts w:ascii="Cambria" w:hAnsi="Cambria"/>
          <w:sz w:val="28"/>
          <w:szCs w:val="28"/>
        </w:rPr>
      </w:pPr>
      <w:r w:rsidRPr="00CB2CE9">
        <w:rPr>
          <w:rFonts w:ascii="Cambria" w:hAnsi="Cambria"/>
          <w:b/>
          <w:color w:val="990000"/>
          <w:sz w:val="28"/>
          <w:szCs w:val="28"/>
        </w:rPr>
        <w:lastRenderedPageBreak/>
        <w:t>Introduzione</w:t>
      </w:r>
      <w:bookmarkEnd w:id="2"/>
    </w:p>
    <w:p w:rsidR="00191450" w:rsidRDefault="002C277F" w:rsidP="00E35528">
      <w:pPr>
        <w:spacing w:before="120" w:after="0" w:line="240" w:lineRule="auto"/>
        <w:jc w:val="both"/>
        <w:rPr>
          <w:rFonts w:ascii="Cambria" w:hAnsi="Cambria"/>
        </w:rPr>
      </w:pPr>
      <w:r w:rsidRPr="00CB2CE9">
        <w:rPr>
          <w:rFonts w:ascii="Cambria" w:hAnsi="Cambria"/>
        </w:rPr>
        <w:t xml:space="preserve">Il presente documento </w:t>
      </w:r>
      <w:r w:rsidR="00B27F8F" w:rsidRPr="00CB2CE9">
        <w:rPr>
          <w:rFonts w:ascii="Cambria" w:hAnsi="Cambria"/>
        </w:rPr>
        <w:t xml:space="preserve">è elaborato con l’intento di definire un sistema di valutazione della performance negli enti locali, sufficientemente </w:t>
      </w:r>
      <w:r w:rsidR="00B27F8F" w:rsidRPr="00CB2CE9">
        <w:rPr>
          <w:rFonts w:ascii="Cambria" w:hAnsi="Cambria"/>
          <w:i/>
        </w:rPr>
        <w:t>stabile</w:t>
      </w:r>
      <w:r w:rsidR="00B27F8F" w:rsidRPr="00CB2CE9">
        <w:rPr>
          <w:rFonts w:ascii="Cambria" w:hAnsi="Cambria"/>
        </w:rPr>
        <w:t xml:space="preserve">, a fronte di un quadro normativo e contrattuale le cui caratteristiche di mutabilità hanno ormai raggiunto un gradiente estremo. </w:t>
      </w:r>
      <w:r w:rsidR="00E3315F" w:rsidRPr="00CB2CE9">
        <w:rPr>
          <w:rFonts w:ascii="Cambria" w:hAnsi="Cambria"/>
        </w:rPr>
        <w:t xml:space="preserve">Ne è segno evidente, </w:t>
      </w:r>
      <w:r w:rsidR="001E65F6" w:rsidRPr="00CB2CE9">
        <w:rPr>
          <w:rFonts w:ascii="Cambria" w:hAnsi="Cambria"/>
        </w:rPr>
        <w:t xml:space="preserve">almeno </w:t>
      </w:r>
      <w:r w:rsidR="00E3315F" w:rsidRPr="00CB2CE9">
        <w:rPr>
          <w:rFonts w:ascii="Cambria" w:hAnsi="Cambria"/>
        </w:rPr>
        <w:t xml:space="preserve">riguardo a questi temi, la perdurante stasi applicativa del d.lgs. n. 150/2009 e </w:t>
      </w:r>
      <w:proofErr w:type="spellStart"/>
      <w:r w:rsidR="00E3315F" w:rsidRPr="00CB2CE9">
        <w:rPr>
          <w:rFonts w:ascii="Cambria" w:hAnsi="Cambria"/>
        </w:rPr>
        <w:t>s.m</w:t>
      </w:r>
      <w:proofErr w:type="spellEnd"/>
      <w:r w:rsidR="00E3315F" w:rsidRPr="00CB2CE9">
        <w:rPr>
          <w:rFonts w:ascii="Cambria" w:hAnsi="Cambria"/>
        </w:rPr>
        <w:t xml:space="preserve">., </w:t>
      </w:r>
      <w:r w:rsidR="001E65F6" w:rsidRPr="00CB2CE9">
        <w:rPr>
          <w:rFonts w:ascii="Cambria" w:hAnsi="Cambria"/>
        </w:rPr>
        <w:t xml:space="preserve">che il blocco della contrattazione nazionale ha sostanzialmente </w:t>
      </w:r>
      <w:r w:rsidR="00E3315F" w:rsidRPr="00CB2CE9">
        <w:rPr>
          <w:rFonts w:ascii="Cambria" w:hAnsi="Cambria"/>
        </w:rPr>
        <w:t>privato</w:t>
      </w:r>
      <w:r w:rsidR="001E65F6" w:rsidRPr="00CB2CE9">
        <w:rPr>
          <w:rFonts w:ascii="Cambria" w:hAnsi="Cambria"/>
        </w:rPr>
        <w:t xml:space="preserve"> di efficacia, ma anche l’incertezza derivante dalla</w:t>
      </w:r>
      <w:r w:rsidR="00E3315F" w:rsidRPr="00CB2CE9">
        <w:rPr>
          <w:rFonts w:ascii="Cambria" w:hAnsi="Cambria"/>
        </w:rPr>
        <w:t xml:space="preserve"> </w:t>
      </w:r>
      <w:r w:rsidR="001E65F6" w:rsidRPr="00CB2CE9">
        <w:rPr>
          <w:rFonts w:ascii="Cambria" w:hAnsi="Cambria"/>
        </w:rPr>
        <w:t xml:space="preserve">revisione e semplificazione dei sistemi di pianificazione e valutazione della performance, </w:t>
      </w:r>
      <w:r w:rsidR="00420E9D" w:rsidRPr="00CB2CE9">
        <w:rPr>
          <w:rFonts w:ascii="Cambria" w:hAnsi="Cambria"/>
        </w:rPr>
        <w:t xml:space="preserve">già </w:t>
      </w:r>
      <w:r w:rsidR="001E65F6" w:rsidRPr="00CB2CE9">
        <w:rPr>
          <w:rFonts w:ascii="Cambria" w:hAnsi="Cambria"/>
        </w:rPr>
        <w:t xml:space="preserve">prefigurata dal D.L. n. 90/2014, convertito in legge n. 114/2014, i cui </w:t>
      </w:r>
      <w:r w:rsidR="00420E9D" w:rsidRPr="00CB2CE9">
        <w:rPr>
          <w:rFonts w:ascii="Cambria" w:hAnsi="Cambria"/>
        </w:rPr>
        <w:t>esiti troveranno però sede nelle disposizioni che scaturiranno dal disegno di legge sulla riorganizzazione delle amministrazioni</w:t>
      </w:r>
      <w:r w:rsidR="00FD7F17" w:rsidRPr="00CB2CE9">
        <w:rPr>
          <w:rFonts w:ascii="Cambria" w:hAnsi="Cambria"/>
        </w:rPr>
        <w:t xml:space="preserve"> pubbliche. </w:t>
      </w:r>
      <w:r w:rsidR="009E5EEC" w:rsidRPr="00CB2CE9">
        <w:rPr>
          <w:rFonts w:ascii="Cambria" w:hAnsi="Cambria"/>
        </w:rPr>
        <w:t>L</w:t>
      </w:r>
      <w:r w:rsidR="00420E9D" w:rsidRPr="00CB2CE9">
        <w:rPr>
          <w:rFonts w:ascii="Cambria" w:hAnsi="Cambria"/>
        </w:rPr>
        <w:t xml:space="preserve">a metodologia qui proposta si àncora ai principi </w:t>
      </w:r>
      <w:r w:rsidR="00FD7F17" w:rsidRPr="00CB2CE9">
        <w:rPr>
          <w:rFonts w:ascii="Cambria" w:hAnsi="Cambria"/>
        </w:rPr>
        <w:t xml:space="preserve">dettati dal nuovo – ma ormai irreversibile – </w:t>
      </w:r>
      <w:r w:rsidR="00EF0CBD" w:rsidRPr="00CB2CE9">
        <w:rPr>
          <w:rFonts w:ascii="Cambria" w:hAnsi="Cambria"/>
        </w:rPr>
        <w:t>sistema</w:t>
      </w:r>
      <w:r w:rsidR="00FD7F17" w:rsidRPr="00CB2CE9">
        <w:rPr>
          <w:rFonts w:ascii="Cambria" w:hAnsi="Cambria"/>
        </w:rPr>
        <w:t xml:space="preserve"> </w:t>
      </w:r>
      <w:r w:rsidR="00EF0CBD" w:rsidRPr="00CB2CE9">
        <w:rPr>
          <w:rFonts w:ascii="Cambria" w:hAnsi="Cambria"/>
        </w:rPr>
        <w:t>di programmazione e gestione</w:t>
      </w:r>
      <w:r w:rsidR="00654AFD" w:rsidRPr="00CB2CE9">
        <w:rPr>
          <w:rFonts w:ascii="Cambria" w:hAnsi="Cambria"/>
        </w:rPr>
        <w:t xml:space="preserve"> </w:t>
      </w:r>
      <w:r w:rsidR="00EF0CBD" w:rsidRPr="00CB2CE9">
        <w:rPr>
          <w:rFonts w:ascii="Cambria" w:hAnsi="Cambria"/>
        </w:rPr>
        <w:t>contab</w:t>
      </w:r>
      <w:r w:rsidR="00FD7F17" w:rsidRPr="00CB2CE9">
        <w:rPr>
          <w:rFonts w:ascii="Cambria" w:hAnsi="Cambria"/>
        </w:rPr>
        <w:t>ile</w:t>
      </w:r>
      <w:r w:rsidR="00654AFD" w:rsidRPr="00CB2CE9">
        <w:rPr>
          <w:rFonts w:ascii="Cambria" w:hAnsi="Cambria"/>
        </w:rPr>
        <w:t xml:space="preserve"> </w:t>
      </w:r>
      <w:r w:rsidR="00FD7F17" w:rsidRPr="00CB2CE9">
        <w:rPr>
          <w:rFonts w:ascii="Cambria" w:hAnsi="Cambria"/>
        </w:rPr>
        <w:t xml:space="preserve">degli enti territoriali, introdotto dal </w:t>
      </w:r>
      <w:r w:rsidR="00EF0CBD" w:rsidRPr="00CB2CE9">
        <w:rPr>
          <w:rFonts w:ascii="Cambria" w:hAnsi="Cambria"/>
        </w:rPr>
        <w:t>d.lgs. n. 118/2011 e suoi correttivi</w:t>
      </w:r>
      <w:r w:rsidR="00FD7F17" w:rsidRPr="00CB2CE9">
        <w:rPr>
          <w:rFonts w:ascii="Cambria" w:hAnsi="Cambria"/>
        </w:rPr>
        <w:t xml:space="preserve">, oltre che alle più solide metodiche di </w:t>
      </w:r>
      <w:proofErr w:type="spellStart"/>
      <w:r w:rsidR="00FD7F17" w:rsidRPr="00CB2CE9">
        <w:rPr>
          <w:rFonts w:ascii="Cambria" w:hAnsi="Cambria"/>
          <w:i/>
        </w:rPr>
        <w:t>assessment</w:t>
      </w:r>
      <w:proofErr w:type="spellEnd"/>
      <w:r w:rsidR="00FD7F17" w:rsidRPr="00CB2CE9">
        <w:rPr>
          <w:rFonts w:ascii="Cambria" w:hAnsi="Cambria"/>
        </w:rPr>
        <w:t>,</w:t>
      </w:r>
      <w:r w:rsidR="00FD7F17" w:rsidRPr="00CB2CE9">
        <w:rPr>
          <w:rFonts w:ascii="Cambria" w:hAnsi="Cambria"/>
          <w:i/>
        </w:rPr>
        <w:t xml:space="preserve"> </w:t>
      </w:r>
      <w:r w:rsidR="00FD7F17" w:rsidRPr="00CB2CE9">
        <w:rPr>
          <w:rFonts w:ascii="Cambria" w:hAnsi="Cambria"/>
        </w:rPr>
        <w:t xml:space="preserve">che </w:t>
      </w:r>
      <w:r w:rsidR="00654AFD" w:rsidRPr="00CB2CE9">
        <w:rPr>
          <w:rFonts w:ascii="Cambria" w:hAnsi="Cambria"/>
        </w:rPr>
        <w:t>gli</w:t>
      </w:r>
      <w:r w:rsidR="00FD7F17" w:rsidRPr="00CB2CE9">
        <w:rPr>
          <w:rFonts w:ascii="Cambria" w:hAnsi="Cambria"/>
        </w:rPr>
        <w:t xml:space="preserve"> studi </w:t>
      </w:r>
      <w:r w:rsidR="00654AFD" w:rsidRPr="00CB2CE9">
        <w:rPr>
          <w:rFonts w:ascii="Cambria" w:hAnsi="Cambria"/>
        </w:rPr>
        <w:t>sulle</w:t>
      </w:r>
      <w:r w:rsidR="00FD7F17" w:rsidRPr="00CB2CE9">
        <w:rPr>
          <w:rFonts w:ascii="Cambria" w:hAnsi="Cambria"/>
        </w:rPr>
        <w:t xml:space="preserve"> organizzazioni ci hanno consegnato in questi decenni</w:t>
      </w:r>
      <w:r w:rsidR="00EF0CBD" w:rsidRPr="00CB2CE9">
        <w:rPr>
          <w:rFonts w:ascii="Cambria" w:hAnsi="Cambria"/>
        </w:rPr>
        <w:t xml:space="preserve">, </w:t>
      </w:r>
      <w:r w:rsidR="004E72FC" w:rsidRPr="00CB2CE9">
        <w:rPr>
          <w:rFonts w:ascii="Cambria" w:hAnsi="Cambria"/>
        </w:rPr>
        <w:t xml:space="preserve">proprio </w:t>
      </w:r>
      <w:r w:rsidR="009E5EEC" w:rsidRPr="00CB2CE9">
        <w:rPr>
          <w:rFonts w:ascii="Cambria" w:hAnsi="Cambria"/>
        </w:rPr>
        <w:t xml:space="preserve">per tentare di fornire uno strumento semplice, ma </w:t>
      </w:r>
      <w:r w:rsidR="004E72FC" w:rsidRPr="00CB2CE9">
        <w:rPr>
          <w:rFonts w:ascii="Cambria" w:hAnsi="Cambria"/>
        </w:rPr>
        <w:t xml:space="preserve">sufficientemente </w:t>
      </w:r>
      <w:r w:rsidR="009E5EEC" w:rsidRPr="00CB2CE9">
        <w:rPr>
          <w:rFonts w:ascii="Cambria" w:hAnsi="Cambria"/>
        </w:rPr>
        <w:t>durevole</w:t>
      </w:r>
      <w:r w:rsidR="00654AFD" w:rsidRPr="00CB2CE9">
        <w:rPr>
          <w:rFonts w:ascii="Cambria" w:hAnsi="Cambria"/>
        </w:rPr>
        <w:t xml:space="preserve"> ed efficace</w:t>
      </w:r>
      <w:r w:rsidR="004E72FC" w:rsidRPr="00CB2CE9">
        <w:rPr>
          <w:rFonts w:ascii="Cambria" w:hAnsi="Cambria"/>
        </w:rPr>
        <w:t xml:space="preserve">, </w:t>
      </w:r>
      <w:r w:rsidR="00654AFD" w:rsidRPr="00CB2CE9">
        <w:rPr>
          <w:rFonts w:ascii="Cambria" w:hAnsi="Cambria"/>
        </w:rPr>
        <w:t>in quanto</w:t>
      </w:r>
      <w:r w:rsidR="004E72FC" w:rsidRPr="00CB2CE9">
        <w:rPr>
          <w:rFonts w:ascii="Cambria" w:hAnsi="Cambria"/>
        </w:rPr>
        <w:t xml:space="preserve"> adattabile alle </w:t>
      </w:r>
      <w:r w:rsidR="00654AFD" w:rsidRPr="00CB2CE9">
        <w:rPr>
          <w:rFonts w:ascii="Cambria" w:hAnsi="Cambria"/>
        </w:rPr>
        <w:t xml:space="preserve">eventuali, probabili </w:t>
      </w:r>
      <w:r w:rsidR="004E72FC" w:rsidRPr="00CB2CE9">
        <w:rPr>
          <w:rFonts w:ascii="Cambria" w:hAnsi="Cambria"/>
        </w:rPr>
        <w:t>modifiche del contesto.</w:t>
      </w:r>
    </w:p>
    <w:p w:rsidR="00191450" w:rsidRPr="00CB2CE9" w:rsidRDefault="00EC4E2E" w:rsidP="00E35528">
      <w:pPr>
        <w:pStyle w:val="Titolo1"/>
        <w:numPr>
          <w:ilvl w:val="0"/>
          <w:numId w:val="1"/>
        </w:numPr>
        <w:spacing w:before="360" w:line="240" w:lineRule="auto"/>
        <w:ind w:left="340" w:hanging="340"/>
        <w:rPr>
          <w:rFonts w:ascii="Cambria" w:hAnsi="Cambria"/>
          <w:b/>
          <w:color w:val="990000"/>
          <w:sz w:val="28"/>
          <w:szCs w:val="28"/>
        </w:rPr>
      </w:pPr>
      <w:bookmarkStart w:id="3" w:name="_Toc411839787"/>
      <w:r w:rsidRPr="00CB2CE9">
        <w:rPr>
          <w:rFonts w:ascii="Cambria" w:hAnsi="Cambria"/>
          <w:b/>
          <w:color w:val="990000"/>
          <w:sz w:val="28"/>
          <w:szCs w:val="28"/>
        </w:rPr>
        <w:t>Contenuti ed ambiti</w:t>
      </w:r>
      <w:bookmarkEnd w:id="3"/>
    </w:p>
    <w:p w:rsidR="00C806A4" w:rsidRPr="00CB2CE9" w:rsidRDefault="00C806A4" w:rsidP="00E35528">
      <w:pPr>
        <w:pStyle w:val="Titolo2"/>
        <w:spacing w:before="120" w:line="240" w:lineRule="auto"/>
        <w:rPr>
          <w:rFonts w:ascii="Cambria" w:hAnsi="Cambria"/>
          <w:b/>
          <w:color w:val="990000"/>
        </w:rPr>
      </w:pPr>
      <w:bookmarkStart w:id="4" w:name="_Toc411839788"/>
      <w:r w:rsidRPr="00CB2CE9">
        <w:rPr>
          <w:rFonts w:ascii="Cambria" w:hAnsi="Cambria"/>
          <w:b/>
          <w:color w:val="990000"/>
        </w:rPr>
        <w:t>1.1. I fattori di apprezzamento</w:t>
      </w:r>
      <w:bookmarkEnd w:id="4"/>
    </w:p>
    <w:p w:rsidR="00191450" w:rsidRPr="00CB2CE9" w:rsidRDefault="00C806A4" w:rsidP="00E35528">
      <w:pPr>
        <w:spacing w:before="120" w:after="0" w:line="240" w:lineRule="auto"/>
        <w:jc w:val="both"/>
        <w:rPr>
          <w:rFonts w:ascii="Cambria" w:hAnsi="Cambria"/>
        </w:rPr>
      </w:pPr>
      <w:r w:rsidRPr="00CB2CE9">
        <w:rPr>
          <w:rFonts w:ascii="Cambria" w:hAnsi="Cambria"/>
        </w:rPr>
        <w:t>La metodologia individua i seguenti fattori di apprezzamento:</w:t>
      </w:r>
    </w:p>
    <w:p w:rsidR="00CF3E2B" w:rsidRPr="00CB2CE9" w:rsidRDefault="00C806A4" w:rsidP="00E35528">
      <w:pPr>
        <w:pStyle w:val="Paragrafoelenco"/>
        <w:numPr>
          <w:ilvl w:val="0"/>
          <w:numId w:val="21"/>
        </w:numPr>
        <w:spacing w:before="60" w:after="0" w:line="240" w:lineRule="auto"/>
        <w:ind w:left="284" w:hanging="284"/>
        <w:contextualSpacing w:val="0"/>
        <w:jc w:val="both"/>
        <w:rPr>
          <w:rFonts w:ascii="Cambria" w:hAnsi="Cambria"/>
        </w:rPr>
      </w:pPr>
      <w:r w:rsidRPr="00CB2CE9">
        <w:rPr>
          <w:rFonts w:ascii="Cambria" w:hAnsi="Cambria"/>
        </w:rPr>
        <w:t>il sapere: inteso come il patrimonio di conoscenze intellettuali concernenti l’ambito disciplinare di appartenenza, derivante dagli studi effettuati e dalle esperienze maturate. La valutazione non concerne la dimensione statica di questo fattore, bensì ne apprezza la dimensione</w:t>
      </w:r>
      <w:r w:rsidR="00CF3E2B" w:rsidRPr="00CB2CE9">
        <w:rPr>
          <w:rFonts w:ascii="Cambria" w:hAnsi="Cambria"/>
        </w:rPr>
        <w:t>,</w:t>
      </w:r>
      <w:r w:rsidRPr="00CB2CE9">
        <w:rPr>
          <w:rFonts w:ascii="Cambria" w:hAnsi="Cambria"/>
        </w:rPr>
        <w:t xml:space="preserve"> in ragione dell</w:t>
      </w:r>
      <w:r w:rsidR="00CF3E2B" w:rsidRPr="00CB2CE9">
        <w:rPr>
          <w:rFonts w:ascii="Cambria" w:hAnsi="Cambria"/>
        </w:rPr>
        <w:t xml:space="preserve">a disponibilità del dipendente interessato a sviluppare il proprio patrimonio di </w:t>
      </w:r>
      <w:proofErr w:type="spellStart"/>
      <w:r w:rsidR="00CF3E2B" w:rsidRPr="00CB2CE9">
        <w:rPr>
          <w:rFonts w:ascii="Cambria" w:hAnsi="Cambria"/>
        </w:rPr>
        <w:t>saperi</w:t>
      </w:r>
      <w:proofErr w:type="spellEnd"/>
      <w:r w:rsidR="00CF3E2B" w:rsidRPr="00CB2CE9">
        <w:rPr>
          <w:rFonts w:ascii="Cambria" w:hAnsi="Cambria"/>
        </w:rPr>
        <w:t>, attraverso l’aggiornamento, la formazione, il confronto con altre esperienze;</w:t>
      </w:r>
    </w:p>
    <w:p w:rsidR="00C806A4" w:rsidRPr="00CB2CE9" w:rsidRDefault="00CF3E2B" w:rsidP="00E35528">
      <w:pPr>
        <w:pStyle w:val="Paragrafoelenco"/>
        <w:numPr>
          <w:ilvl w:val="0"/>
          <w:numId w:val="21"/>
        </w:numPr>
        <w:spacing w:before="60" w:after="0" w:line="240" w:lineRule="auto"/>
        <w:ind w:left="284" w:hanging="284"/>
        <w:contextualSpacing w:val="0"/>
        <w:jc w:val="both"/>
        <w:rPr>
          <w:rFonts w:ascii="Cambria" w:hAnsi="Cambria"/>
        </w:rPr>
      </w:pPr>
      <w:r w:rsidRPr="00CB2CE9">
        <w:rPr>
          <w:rFonts w:ascii="Cambria" w:hAnsi="Cambria"/>
        </w:rPr>
        <w:t>le competenze relazionali: intese come capacità di porsi positivamente in un contesto organizzativo, sia per quanto concerne le relazioni interne al servizio di appartenenza</w:t>
      </w:r>
      <w:r w:rsidR="00C53A3A" w:rsidRPr="00CB2CE9">
        <w:rPr>
          <w:rFonts w:ascii="Cambria" w:hAnsi="Cambria"/>
        </w:rPr>
        <w:t>,</w:t>
      </w:r>
      <w:r w:rsidRPr="00CB2CE9">
        <w:rPr>
          <w:rFonts w:ascii="Cambria" w:hAnsi="Cambria"/>
        </w:rPr>
        <w:t xml:space="preserve"> </w:t>
      </w:r>
      <w:r w:rsidR="00C53A3A" w:rsidRPr="00CB2CE9">
        <w:rPr>
          <w:rFonts w:ascii="Cambria" w:hAnsi="Cambria"/>
        </w:rPr>
        <w:t xml:space="preserve">compresa la capacità, per quanto di competenza, di motivare e valutare i collaboratori, </w:t>
      </w:r>
      <w:r w:rsidRPr="00CB2CE9">
        <w:rPr>
          <w:rFonts w:ascii="Cambria" w:hAnsi="Cambria"/>
        </w:rPr>
        <w:t>che</w:t>
      </w:r>
      <w:r w:rsidR="00CE7050" w:rsidRPr="00CB2CE9">
        <w:rPr>
          <w:rFonts w:ascii="Cambria" w:hAnsi="Cambria"/>
        </w:rPr>
        <w:t xml:space="preserve"> con gli altri servizi, oltre che nei rapporti con i cittadini, con gli amministratori e con tutti gli altri soggetti istituzionali e non, con i quali il dipendente interessato </w:t>
      </w:r>
      <w:r w:rsidR="00C53A3A" w:rsidRPr="00CB2CE9">
        <w:rPr>
          <w:rFonts w:ascii="Cambria" w:hAnsi="Cambria"/>
        </w:rPr>
        <w:t>si</w:t>
      </w:r>
      <w:r w:rsidR="00CE7050" w:rsidRPr="00CB2CE9">
        <w:rPr>
          <w:rFonts w:ascii="Cambria" w:hAnsi="Cambria"/>
        </w:rPr>
        <w:t xml:space="preserve"> </w:t>
      </w:r>
      <w:r w:rsidR="00C53A3A" w:rsidRPr="00CB2CE9">
        <w:rPr>
          <w:rFonts w:ascii="Cambria" w:hAnsi="Cambria"/>
        </w:rPr>
        <w:t>relazioni</w:t>
      </w:r>
      <w:r w:rsidR="00CE7050" w:rsidRPr="00CB2CE9">
        <w:rPr>
          <w:rFonts w:ascii="Cambria" w:hAnsi="Cambria"/>
        </w:rPr>
        <w:t>;</w:t>
      </w:r>
      <w:r w:rsidRPr="00CB2CE9">
        <w:rPr>
          <w:rFonts w:ascii="Cambria" w:hAnsi="Cambria"/>
        </w:rPr>
        <w:t xml:space="preserve">   </w:t>
      </w:r>
      <w:r w:rsidR="00C806A4" w:rsidRPr="00CB2CE9">
        <w:rPr>
          <w:rFonts w:ascii="Cambria" w:hAnsi="Cambria"/>
        </w:rPr>
        <w:t xml:space="preserve"> </w:t>
      </w:r>
    </w:p>
    <w:p w:rsidR="00CE7050" w:rsidRPr="00CB2CE9" w:rsidRDefault="00CE7050" w:rsidP="00E35528">
      <w:pPr>
        <w:pStyle w:val="Paragrafoelenco"/>
        <w:numPr>
          <w:ilvl w:val="0"/>
          <w:numId w:val="21"/>
        </w:numPr>
        <w:spacing w:before="60" w:after="0" w:line="240" w:lineRule="auto"/>
        <w:ind w:left="284" w:hanging="284"/>
        <w:contextualSpacing w:val="0"/>
        <w:jc w:val="both"/>
        <w:rPr>
          <w:rFonts w:ascii="Cambria" w:hAnsi="Cambria"/>
        </w:rPr>
      </w:pPr>
      <w:r w:rsidRPr="00CB2CE9">
        <w:rPr>
          <w:rFonts w:ascii="Cambria" w:hAnsi="Cambria"/>
        </w:rPr>
        <w:t>la capacità operativa: intesa come competenza realizzativa degli obiettivi e dei compiti affidati.</w:t>
      </w:r>
    </w:p>
    <w:p w:rsidR="00CE7050" w:rsidRPr="00CB2CE9" w:rsidRDefault="00CE7050" w:rsidP="00E35528">
      <w:pPr>
        <w:spacing w:before="120" w:after="0" w:line="240" w:lineRule="auto"/>
        <w:jc w:val="both"/>
        <w:rPr>
          <w:rFonts w:ascii="Cambria" w:hAnsi="Cambria"/>
        </w:rPr>
      </w:pPr>
      <w:r w:rsidRPr="00CB2CE9">
        <w:rPr>
          <w:rFonts w:ascii="Cambria" w:hAnsi="Cambria"/>
        </w:rPr>
        <w:t>A seconda del ruolo</w:t>
      </w:r>
      <w:r w:rsidR="00EC4E2E" w:rsidRPr="00CB2CE9">
        <w:rPr>
          <w:rFonts w:ascii="Cambria" w:hAnsi="Cambria"/>
        </w:rPr>
        <w:t xml:space="preserve"> ricoperto</w:t>
      </w:r>
      <w:r w:rsidRPr="00CB2CE9">
        <w:rPr>
          <w:rFonts w:ascii="Cambria" w:hAnsi="Cambria"/>
        </w:rPr>
        <w:t>, questi fattori trovano diversa combinazione</w:t>
      </w:r>
      <w:r w:rsidR="00EC4E2E" w:rsidRPr="00CB2CE9">
        <w:rPr>
          <w:rFonts w:ascii="Cambria" w:hAnsi="Cambria"/>
        </w:rPr>
        <w:t xml:space="preserve"> ed interazione, come indicato nei successivi punti.</w:t>
      </w:r>
    </w:p>
    <w:p w:rsidR="00EC4E2E" w:rsidRPr="00CB2CE9" w:rsidRDefault="00EC4E2E" w:rsidP="00E35528">
      <w:pPr>
        <w:pStyle w:val="Titolo2"/>
        <w:spacing w:before="120" w:line="240" w:lineRule="auto"/>
        <w:rPr>
          <w:rFonts w:ascii="Cambria" w:hAnsi="Cambria"/>
          <w:b/>
          <w:color w:val="auto"/>
        </w:rPr>
      </w:pPr>
      <w:bookmarkStart w:id="5" w:name="_Toc411839789"/>
      <w:r w:rsidRPr="00CB2CE9">
        <w:rPr>
          <w:rFonts w:ascii="Cambria" w:hAnsi="Cambria"/>
          <w:b/>
          <w:color w:val="990000"/>
        </w:rPr>
        <w:t>1.2. Il contesto</w:t>
      </w:r>
      <w:r w:rsidR="00CB2CE9">
        <w:rPr>
          <w:rFonts w:ascii="Cambria" w:hAnsi="Cambria"/>
          <w:b/>
          <w:color w:val="990000"/>
        </w:rPr>
        <w:t xml:space="preserve"> </w:t>
      </w:r>
      <w:r w:rsidR="00645B02" w:rsidRPr="00CB2CE9">
        <w:rPr>
          <w:rStyle w:val="Rimandonotaapidipagina"/>
          <w:rFonts w:ascii="Cambria" w:hAnsi="Cambria"/>
          <w:b/>
          <w:color w:val="auto"/>
        </w:rPr>
        <w:footnoteReference w:id="1"/>
      </w:r>
      <w:bookmarkEnd w:id="5"/>
    </w:p>
    <w:p w:rsidR="00A94001" w:rsidRPr="00CB2CE9" w:rsidRDefault="00EC4E2E" w:rsidP="00E35528">
      <w:pPr>
        <w:spacing w:before="120" w:after="0" w:line="240" w:lineRule="auto"/>
        <w:jc w:val="both"/>
        <w:rPr>
          <w:rFonts w:ascii="Cambria" w:hAnsi="Cambria"/>
        </w:rPr>
      </w:pPr>
      <w:r w:rsidRPr="00CB2CE9">
        <w:rPr>
          <w:rFonts w:ascii="Cambria" w:hAnsi="Cambria"/>
        </w:rPr>
        <w:t xml:space="preserve">La metodologia opera con riferimento ai contenuti del PEG o dello strumento </w:t>
      </w:r>
      <w:r w:rsidR="00382447" w:rsidRPr="00CB2CE9">
        <w:rPr>
          <w:rFonts w:ascii="Cambria" w:hAnsi="Cambria"/>
        </w:rPr>
        <w:t xml:space="preserve">semplificato </w:t>
      </w:r>
      <w:r w:rsidRPr="00CB2CE9">
        <w:rPr>
          <w:rFonts w:ascii="Cambria" w:hAnsi="Cambria"/>
        </w:rPr>
        <w:t>di rilevazione dei fatti gestionali, comunque previsto per i comuni di minore dimensione</w:t>
      </w:r>
      <w:r w:rsidR="00382447" w:rsidRPr="00CB2CE9">
        <w:rPr>
          <w:rFonts w:ascii="Cambria" w:hAnsi="Cambria"/>
        </w:rPr>
        <w:t>, in un’ottica di programmazione con un orizzonte temporale almeno triennale e redatto per declinare, in maggior dettaglio, la programmazione operativa contenuta nell'apposita Sezione del Documento Unico di Programmazione (DUP)</w:t>
      </w:r>
      <w:r w:rsidRPr="00CB2CE9">
        <w:rPr>
          <w:rFonts w:ascii="Cambria" w:hAnsi="Cambria"/>
        </w:rPr>
        <w:t>.</w:t>
      </w:r>
    </w:p>
    <w:p w:rsidR="00A94001" w:rsidRPr="00CB2CE9" w:rsidRDefault="00A94001" w:rsidP="00E35528">
      <w:pPr>
        <w:spacing w:before="120" w:after="0" w:line="240" w:lineRule="auto"/>
        <w:jc w:val="both"/>
        <w:rPr>
          <w:rFonts w:ascii="Cambria" w:hAnsi="Cambria"/>
        </w:rPr>
      </w:pPr>
      <w:r w:rsidRPr="00CB2CE9">
        <w:rPr>
          <w:rFonts w:ascii="Cambria" w:hAnsi="Cambria"/>
        </w:rPr>
        <w:t>Ciò, in forza del fatto che con il PEG o altro strumento semplificato, le attività devono necessariamente essere poste in termini di obiettivo e contenere una precisa ed esplicita indicazione circa il risultato da raggiungere.</w:t>
      </w:r>
    </w:p>
    <w:p w:rsidR="00ED7B62" w:rsidRPr="00CB2CE9" w:rsidRDefault="00A94001" w:rsidP="00E35528">
      <w:pPr>
        <w:spacing w:before="120" w:after="0" w:line="240" w:lineRule="auto"/>
        <w:jc w:val="both"/>
        <w:rPr>
          <w:rFonts w:ascii="Cambria" w:hAnsi="Cambria"/>
        </w:rPr>
      </w:pPr>
      <w:r w:rsidRPr="00CB2CE9">
        <w:rPr>
          <w:rFonts w:ascii="Cambria" w:hAnsi="Cambria"/>
        </w:rPr>
        <w:t>In particolare</w:t>
      </w:r>
      <w:r w:rsidR="00ED7B62" w:rsidRPr="00CB2CE9">
        <w:rPr>
          <w:rFonts w:ascii="Cambria" w:hAnsi="Cambria"/>
        </w:rPr>
        <w:t xml:space="preserve">, </w:t>
      </w:r>
      <w:r w:rsidRPr="00CB2CE9">
        <w:rPr>
          <w:rFonts w:ascii="Cambria" w:hAnsi="Cambria"/>
        </w:rPr>
        <w:t>gli obiettivi di attività debbono essere misurabili e monitorabili</w:t>
      </w:r>
      <w:r w:rsidR="00ED7B62" w:rsidRPr="00CB2CE9">
        <w:rPr>
          <w:rFonts w:ascii="Cambria" w:hAnsi="Cambria"/>
        </w:rPr>
        <w:t xml:space="preserve"> e i relativi risultati attesi espressi in termini di:</w:t>
      </w:r>
    </w:p>
    <w:p w:rsidR="00ED7B62" w:rsidRPr="00CB2CE9" w:rsidRDefault="00ED7B62" w:rsidP="00E35528">
      <w:pPr>
        <w:pStyle w:val="Paragrafoelenco"/>
        <w:numPr>
          <w:ilvl w:val="0"/>
          <w:numId w:val="22"/>
        </w:numPr>
        <w:spacing w:before="60" w:after="0" w:line="240" w:lineRule="auto"/>
        <w:ind w:left="284" w:hanging="284"/>
        <w:contextualSpacing w:val="0"/>
        <w:jc w:val="both"/>
        <w:rPr>
          <w:rFonts w:ascii="Cambria" w:hAnsi="Cambria"/>
        </w:rPr>
      </w:pPr>
      <w:r w:rsidRPr="00CB2CE9">
        <w:rPr>
          <w:rFonts w:ascii="Cambria" w:hAnsi="Cambria"/>
        </w:rPr>
        <w:lastRenderedPageBreak/>
        <w:t>efficacia, secondo profili di qualità, di equità dei servizi e di soddisfazione dell'utenza;</w:t>
      </w:r>
    </w:p>
    <w:p w:rsidR="000F2543" w:rsidRPr="00CB2CE9" w:rsidRDefault="00ED7B62" w:rsidP="00E35528">
      <w:pPr>
        <w:pStyle w:val="Paragrafoelenco"/>
        <w:numPr>
          <w:ilvl w:val="0"/>
          <w:numId w:val="22"/>
        </w:numPr>
        <w:spacing w:before="60" w:after="0" w:line="240" w:lineRule="auto"/>
        <w:ind w:left="284" w:hanging="284"/>
        <w:contextualSpacing w:val="0"/>
        <w:jc w:val="both"/>
        <w:rPr>
          <w:rFonts w:ascii="Cambria" w:hAnsi="Cambria"/>
        </w:rPr>
      </w:pPr>
      <w:r w:rsidRPr="00CB2CE9">
        <w:rPr>
          <w:rFonts w:ascii="Cambria" w:hAnsi="Cambria"/>
        </w:rPr>
        <w:t>efficienza, intesa quale rapporto tra risorse utilizzate e quantità di servizi prodotti o attività svolta.</w:t>
      </w:r>
      <w:r w:rsidR="00EC4E2E" w:rsidRPr="00CB2CE9">
        <w:rPr>
          <w:rFonts w:ascii="Cambria" w:hAnsi="Cambria"/>
        </w:rPr>
        <w:t xml:space="preserve"> </w:t>
      </w:r>
      <w:r w:rsidR="00256C4F" w:rsidRPr="00CB2CE9">
        <w:rPr>
          <w:rFonts w:ascii="Cambria" w:hAnsi="Cambria"/>
        </w:rPr>
        <w:t xml:space="preserve"> </w:t>
      </w:r>
    </w:p>
    <w:p w:rsidR="00A11BDE" w:rsidRPr="005E217B" w:rsidRDefault="00A11BDE" w:rsidP="00E35528">
      <w:pPr>
        <w:pStyle w:val="Titolo1"/>
        <w:numPr>
          <w:ilvl w:val="0"/>
          <w:numId w:val="1"/>
        </w:numPr>
        <w:spacing w:before="360" w:line="240" w:lineRule="auto"/>
        <w:ind w:left="340" w:hanging="340"/>
        <w:rPr>
          <w:rFonts w:ascii="Cambria" w:hAnsi="Cambria"/>
          <w:b/>
          <w:color w:val="990000"/>
          <w:sz w:val="28"/>
          <w:szCs w:val="28"/>
        </w:rPr>
      </w:pPr>
      <w:bookmarkStart w:id="6" w:name="_Toc411839790"/>
      <w:r w:rsidRPr="005E217B">
        <w:rPr>
          <w:rFonts w:ascii="Cambria" w:hAnsi="Cambria"/>
          <w:b/>
          <w:color w:val="990000"/>
          <w:sz w:val="28"/>
          <w:szCs w:val="28"/>
        </w:rPr>
        <w:t xml:space="preserve">Il </w:t>
      </w:r>
      <w:r w:rsidR="001627F2" w:rsidRPr="005E217B">
        <w:rPr>
          <w:rFonts w:ascii="Cambria" w:hAnsi="Cambria"/>
          <w:b/>
          <w:color w:val="990000"/>
          <w:sz w:val="28"/>
          <w:szCs w:val="28"/>
        </w:rPr>
        <w:t>soggetti competenti per la valutazione</w:t>
      </w:r>
      <w:bookmarkEnd w:id="6"/>
    </w:p>
    <w:p w:rsidR="001627F2" w:rsidRPr="00CB2CE9" w:rsidRDefault="001627F2" w:rsidP="005E217B">
      <w:pPr>
        <w:spacing w:before="120" w:after="0" w:line="240" w:lineRule="auto"/>
        <w:jc w:val="both"/>
        <w:rPr>
          <w:rFonts w:ascii="Cambria" w:hAnsi="Cambria"/>
        </w:rPr>
      </w:pPr>
      <w:r w:rsidRPr="00CB2CE9">
        <w:rPr>
          <w:rFonts w:ascii="Cambria" w:hAnsi="Cambria"/>
        </w:rPr>
        <w:t>La valutazione dei Responsabili di servizio, opera con riferimento ai fattori indicati al precedente punto 1.1. In particolare:</w:t>
      </w:r>
    </w:p>
    <w:p w:rsidR="001627F2" w:rsidRPr="00CB2CE9" w:rsidRDefault="001627F2" w:rsidP="005E217B">
      <w:pPr>
        <w:pStyle w:val="Paragrafoelenco"/>
        <w:numPr>
          <w:ilvl w:val="0"/>
          <w:numId w:val="23"/>
        </w:numPr>
        <w:spacing w:before="60" w:after="0" w:line="240" w:lineRule="auto"/>
        <w:ind w:left="284" w:hanging="284"/>
        <w:contextualSpacing w:val="0"/>
        <w:jc w:val="both"/>
        <w:rPr>
          <w:rFonts w:ascii="Cambria" w:hAnsi="Cambria"/>
        </w:rPr>
      </w:pPr>
      <w:r w:rsidRPr="00CB2CE9">
        <w:rPr>
          <w:rFonts w:ascii="Cambria" w:hAnsi="Cambria"/>
        </w:rPr>
        <w:t>con riguardo ai fattori concernenti il sapere e le competenze relazionali, la valutazione è espressa dal Segretario comunale;</w:t>
      </w:r>
    </w:p>
    <w:p w:rsidR="001627F2" w:rsidRPr="00CB2CE9" w:rsidRDefault="001627F2" w:rsidP="005E217B">
      <w:pPr>
        <w:pStyle w:val="Paragrafoelenco"/>
        <w:numPr>
          <w:ilvl w:val="0"/>
          <w:numId w:val="23"/>
        </w:numPr>
        <w:spacing w:before="60" w:after="0" w:line="240" w:lineRule="auto"/>
        <w:ind w:left="284" w:hanging="284"/>
        <w:contextualSpacing w:val="0"/>
        <w:jc w:val="both"/>
        <w:rPr>
          <w:rFonts w:ascii="Cambria" w:hAnsi="Cambria"/>
        </w:rPr>
      </w:pPr>
      <w:r w:rsidRPr="00CB2CE9">
        <w:rPr>
          <w:rFonts w:ascii="Cambria" w:hAnsi="Cambria"/>
        </w:rPr>
        <w:t>con riguardo al fattore capacità operativa, la valutazione è effettuata dal Nucleo di valutazione, acquisiti tutti gli elementi relativi al grado di realizzazione degli obiettivi affidati.</w:t>
      </w:r>
    </w:p>
    <w:p w:rsidR="00CA5391" w:rsidRPr="00CB2CE9" w:rsidRDefault="001627F2" w:rsidP="005E217B">
      <w:pPr>
        <w:spacing w:before="120" w:after="0" w:line="240" w:lineRule="auto"/>
        <w:jc w:val="both"/>
        <w:rPr>
          <w:rFonts w:ascii="Cambria" w:hAnsi="Cambria"/>
        </w:rPr>
      </w:pPr>
      <w:r w:rsidRPr="00CB2CE9">
        <w:rPr>
          <w:rFonts w:ascii="Cambria" w:hAnsi="Cambria"/>
        </w:rPr>
        <w:t xml:space="preserve">La valutazione dei dipendenti è effettuata dal Responsabile dei servizio cui gli stessi afferiscono. </w:t>
      </w:r>
    </w:p>
    <w:p w:rsidR="00BF2FF1" w:rsidRPr="00CB2CE9" w:rsidRDefault="00572A77" w:rsidP="00E35528">
      <w:pPr>
        <w:pStyle w:val="Titolo1"/>
        <w:numPr>
          <w:ilvl w:val="0"/>
          <w:numId w:val="1"/>
        </w:numPr>
        <w:spacing w:before="360" w:line="240" w:lineRule="auto"/>
        <w:ind w:left="340" w:hanging="340"/>
        <w:rPr>
          <w:rFonts w:ascii="Cambria" w:hAnsi="Cambria"/>
          <w:b/>
          <w:color w:val="990000"/>
          <w:sz w:val="28"/>
          <w:szCs w:val="28"/>
        </w:rPr>
      </w:pPr>
      <w:r w:rsidRPr="00CB2CE9">
        <w:rPr>
          <w:rFonts w:ascii="Cambria" w:hAnsi="Cambria"/>
          <w:sz w:val="28"/>
          <w:szCs w:val="28"/>
        </w:rPr>
        <w:t xml:space="preserve"> </w:t>
      </w:r>
      <w:bookmarkStart w:id="7" w:name="_Toc411839791"/>
      <w:r w:rsidR="001627F2" w:rsidRPr="00CB2CE9">
        <w:rPr>
          <w:rFonts w:ascii="Cambria" w:hAnsi="Cambria"/>
          <w:b/>
          <w:color w:val="990000"/>
          <w:sz w:val="28"/>
          <w:szCs w:val="28"/>
        </w:rPr>
        <w:t>Il processo di valutazione</w:t>
      </w:r>
      <w:bookmarkEnd w:id="7"/>
    </w:p>
    <w:p w:rsidR="00057542" w:rsidRPr="00CB2CE9" w:rsidRDefault="00057542" w:rsidP="005E217B">
      <w:pPr>
        <w:spacing w:before="120" w:after="0" w:line="240" w:lineRule="auto"/>
        <w:jc w:val="both"/>
        <w:rPr>
          <w:rFonts w:ascii="Cambria" w:hAnsi="Cambria"/>
        </w:rPr>
      </w:pPr>
      <w:r w:rsidRPr="00CB2CE9">
        <w:rPr>
          <w:rFonts w:ascii="Cambria" w:hAnsi="Cambria"/>
        </w:rPr>
        <w:t>Sulla base degli atti di programmazione gestionale dell’anno di riferimento, il Segretario comunale incontra i Responsabili di servizio per pianificarne la dimensione attuativa, anche con riferimento agli ambiti e ai contenuti oggetto di valutazione.</w:t>
      </w:r>
    </w:p>
    <w:p w:rsidR="00057542" w:rsidRPr="00CB2CE9" w:rsidRDefault="00057542" w:rsidP="005E217B">
      <w:pPr>
        <w:spacing w:before="120" w:after="0" w:line="240" w:lineRule="auto"/>
        <w:jc w:val="both"/>
        <w:rPr>
          <w:rFonts w:ascii="Cambria" w:hAnsi="Cambria"/>
        </w:rPr>
      </w:pPr>
      <w:r w:rsidRPr="00CB2CE9">
        <w:rPr>
          <w:rFonts w:ascii="Cambria" w:hAnsi="Cambria"/>
        </w:rPr>
        <w:t>Analoghi incontri sono effettuati dai Responsabili di servizio con i propri dipendenti, per la pianificazione attuativa dell’attività di competenza.</w:t>
      </w:r>
    </w:p>
    <w:p w:rsidR="005365DF" w:rsidRPr="00CB2CE9" w:rsidRDefault="005365DF" w:rsidP="005E217B">
      <w:pPr>
        <w:spacing w:before="120" w:after="0" w:line="240" w:lineRule="auto"/>
        <w:jc w:val="both"/>
        <w:rPr>
          <w:rFonts w:ascii="Cambria" w:hAnsi="Cambria"/>
        </w:rPr>
      </w:pPr>
      <w:r w:rsidRPr="00CB2CE9">
        <w:rPr>
          <w:rFonts w:ascii="Cambria" w:hAnsi="Cambria"/>
        </w:rPr>
        <w:t>La valutazione definitiva è effettuata al termine di ciascun anno</w:t>
      </w:r>
      <w:r w:rsidR="006E1E25" w:rsidRPr="00CB2CE9">
        <w:rPr>
          <w:rFonts w:ascii="Cambria" w:hAnsi="Cambria"/>
        </w:rPr>
        <w:t>.</w:t>
      </w:r>
      <w:r w:rsidRPr="00CB2CE9">
        <w:rPr>
          <w:rFonts w:ascii="Cambria" w:hAnsi="Cambria"/>
        </w:rPr>
        <w:t xml:space="preserve"> Compito dei soggetti competenti per la valutazione è quello di monitorare con continuità l’attività e le prestazioni dei dipendenti.</w:t>
      </w:r>
    </w:p>
    <w:p w:rsidR="005365DF" w:rsidRPr="00CB2CE9" w:rsidRDefault="005365DF" w:rsidP="005E217B">
      <w:pPr>
        <w:spacing w:before="120" w:after="0" w:line="240" w:lineRule="auto"/>
        <w:jc w:val="both"/>
        <w:rPr>
          <w:rFonts w:ascii="Cambria" w:hAnsi="Cambria"/>
        </w:rPr>
      </w:pPr>
      <w:r w:rsidRPr="00CB2CE9">
        <w:rPr>
          <w:rFonts w:ascii="Cambria" w:hAnsi="Cambria"/>
        </w:rPr>
        <w:t>In ogni caso, è previsto un monitoraggio intermedio entro 31 luglio di ciascun anno, effettuato dai Responsabili di servizio insieme ai propri dipendenti e finalizzato a rilevare gli eventuali scostamenti tra quanto programmato e quanto effettivamente realizzato.</w:t>
      </w:r>
    </w:p>
    <w:p w:rsidR="00057542" w:rsidRPr="00CB2CE9" w:rsidRDefault="005365DF" w:rsidP="005E217B">
      <w:pPr>
        <w:spacing w:before="120" w:after="0" w:line="240" w:lineRule="auto"/>
        <w:jc w:val="both"/>
        <w:rPr>
          <w:rFonts w:ascii="Cambria" w:hAnsi="Cambria"/>
        </w:rPr>
      </w:pPr>
      <w:r w:rsidRPr="00CB2CE9">
        <w:rPr>
          <w:rFonts w:ascii="Cambria" w:hAnsi="Cambria"/>
        </w:rPr>
        <w:t>Il Segretario Comunale effettua</w:t>
      </w:r>
      <w:r w:rsidR="00057542" w:rsidRPr="00CB2CE9">
        <w:rPr>
          <w:rFonts w:ascii="Cambria" w:hAnsi="Cambria"/>
        </w:rPr>
        <w:t>,</w:t>
      </w:r>
      <w:r w:rsidRPr="00CB2CE9">
        <w:rPr>
          <w:rFonts w:ascii="Cambria" w:hAnsi="Cambria"/>
        </w:rPr>
        <w:t xml:space="preserve"> entro il predetto termine del 31 luglio</w:t>
      </w:r>
      <w:r w:rsidR="00057542" w:rsidRPr="00CB2CE9">
        <w:rPr>
          <w:rFonts w:ascii="Cambria" w:hAnsi="Cambria"/>
        </w:rPr>
        <w:t>,</w:t>
      </w:r>
      <w:r w:rsidRPr="00CB2CE9">
        <w:rPr>
          <w:rFonts w:ascii="Cambria" w:hAnsi="Cambria"/>
        </w:rPr>
        <w:t xml:space="preserve"> un analogo monitoraggio insieme </w:t>
      </w:r>
      <w:r w:rsidR="00057542" w:rsidRPr="00CB2CE9">
        <w:rPr>
          <w:rFonts w:ascii="Cambria" w:hAnsi="Cambria"/>
        </w:rPr>
        <w:t>ai</w:t>
      </w:r>
      <w:r w:rsidRPr="00CB2CE9">
        <w:rPr>
          <w:rFonts w:ascii="Cambria" w:hAnsi="Cambria"/>
        </w:rPr>
        <w:t xml:space="preserve"> Responsabili di servi</w:t>
      </w:r>
      <w:r w:rsidR="00057542" w:rsidRPr="00CB2CE9">
        <w:rPr>
          <w:rFonts w:ascii="Cambria" w:hAnsi="Cambria"/>
        </w:rPr>
        <w:t xml:space="preserve">zio. </w:t>
      </w:r>
    </w:p>
    <w:p w:rsidR="006E1E25" w:rsidRPr="00CB2CE9" w:rsidRDefault="00057542" w:rsidP="005E217B">
      <w:pPr>
        <w:spacing w:before="120" w:after="0" w:line="240" w:lineRule="auto"/>
        <w:jc w:val="both"/>
        <w:rPr>
          <w:rFonts w:ascii="Cambria" w:hAnsi="Cambria"/>
        </w:rPr>
      </w:pPr>
      <w:r w:rsidRPr="00CB2CE9">
        <w:rPr>
          <w:rFonts w:ascii="Cambria" w:hAnsi="Cambria"/>
        </w:rPr>
        <w:t>Gli esiti del monitoraggio e ogni altro elemento o situazione rilevati nel corso della gestione</w:t>
      </w:r>
      <w:r w:rsidR="00B406C1" w:rsidRPr="00CB2CE9">
        <w:rPr>
          <w:rFonts w:ascii="Cambria" w:hAnsi="Cambria"/>
        </w:rPr>
        <w:t xml:space="preserve">, che risultino significativi ai fini del presente processo, </w:t>
      </w:r>
      <w:r w:rsidRPr="00CB2CE9">
        <w:rPr>
          <w:rFonts w:ascii="Cambria" w:hAnsi="Cambria"/>
        </w:rPr>
        <w:t xml:space="preserve">sono </w:t>
      </w:r>
      <w:r w:rsidR="00B406C1" w:rsidRPr="00CB2CE9">
        <w:rPr>
          <w:rFonts w:ascii="Cambria" w:hAnsi="Cambria"/>
        </w:rPr>
        <w:t>resi disponibili al Nucleo di valutazione.</w:t>
      </w:r>
      <w:r w:rsidR="005365DF" w:rsidRPr="00CB2CE9">
        <w:rPr>
          <w:rFonts w:ascii="Cambria" w:hAnsi="Cambria"/>
        </w:rPr>
        <w:t xml:space="preserve"> </w:t>
      </w:r>
    </w:p>
    <w:p w:rsidR="005E217B" w:rsidRDefault="005E217B">
      <w:pPr>
        <w:rPr>
          <w:rFonts w:ascii="Cambria" w:eastAsiaTheme="majorEastAsia" w:hAnsi="Cambria" w:cstheme="majorBidi"/>
          <w:b/>
          <w:color w:val="990000"/>
          <w:sz w:val="28"/>
          <w:szCs w:val="28"/>
        </w:rPr>
      </w:pPr>
      <w:bookmarkStart w:id="8" w:name="_Toc411839792"/>
      <w:r>
        <w:rPr>
          <w:rFonts w:ascii="Cambria" w:hAnsi="Cambria"/>
          <w:b/>
          <w:color w:val="990000"/>
          <w:sz w:val="28"/>
          <w:szCs w:val="28"/>
        </w:rPr>
        <w:br w:type="page"/>
      </w:r>
    </w:p>
    <w:p w:rsidR="006E1FE2" w:rsidRPr="00CB2CE9" w:rsidRDefault="00B406C1" w:rsidP="005E217B">
      <w:pPr>
        <w:pStyle w:val="Titolo1"/>
        <w:numPr>
          <w:ilvl w:val="0"/>
          <w:numId w:val="1"/>
        </w:numPr>
        <w:spacing w:before="0" w:line="240" w:lineRule="auto"/>
        <w:ind w:left="340" w:hanging="340"/>
        <w:rPr>
          <w:rFonts w:ascii="Cambria" w:hAnsi="Cambria"/>
          <w:b/>
          <w:color w:val="990000"/>
          <w:sz w:val="28"/>
          <w:szCs w:val="28"/>
        </w:rPr>
      </w:pPr>
      <w:r w:rsidRPr="00CB2CE9">
        <w:rPr>
          <w:rFonts w:ascii="Cambria" w:hAnsi="Cambria"/>
          <w:b/>
          <w:color w:val="990000"/>
          <w:sz w:val="28"/>
          <w:szCs w:val="28"/>
        </w:rPr>
        <w:t>La valutazione de</w:t>
      </w:r>
      <w:r w:rsidR="006E1E25" w:rsidRPr="00CB2CE9">
        <w:rPr>
          <w:rFonts w:ascii="Cambria" w:hAnsi="Cambria"/>
          <w:b/>
          <w:color w:val="990000"/>
          <w:sz w:val="28"/>
          <w:szCs w:val="28"/>
        </w:rPr>
        <w:t>i</w:t>
      </w:r>
      <w:r w:rsidRPr="00CB2CE9">
        <w:rPr>
          <w:rFonts w:ascii="Cambria" w:hAnsi="Cambria"/>
          <w:b/>
          <w:color w:val="990000"/>
          <w:sz w:val="28"/>
          <w:szCs w:val="28"/>
        </w:rPr>
        <w:t xml:space="preserve"> Responsabili di servizio</w:t>
      </w:r>
      <w:bookmarkEnd w:id="8"/>
    </w:p>
    <w:p w:rsidR="00A660EA" w:rsidRPr="00CB2CE9" w:rsidRDefault="0000111D" w:rsidP="005E217B">
      <w:pPr>
        <w:spacing w:before="120" w:after="120" w:line="240" w:lineRule="auto"/>
        <w:jc w:val="both"/>
        <w:rPr>
          <w:rFonts w:ascii="Cambria" w:hAnsi="Cambria"/>
        </w:rPr>
      </w:pPr>
      <w:r w:rsidRPr="00CB2CE9">
        <w:rPr>
          <w:rFonts w:ascii="Cambria" w:hAnsi="Cambria"/>
        </w:rPr>
        <w:t>Per i Responsabili di servizio, al fine di apprezzare non solo la dimensione quantitativa del grado di realizzazione degli obiettivi di attività affidati, ma anche la qualità degli apporti che l’hanno determinata, la valutazione dei fattori relativi al sapere e alle competenze relazionali, pondera direttamente quella riguardante il fattore riferito alla capacità operativa, come da scheda che segue:</w:t>
      </w:r>
    </w:p>
    <w:p w:rsidR="00F8448B" w:rsidRPr="00CB2CE9" w:rsidRDefault="00C53A3A" w:rsidP="006E1E25">
      <w:pPr>
        <w:spacing w:after="60" w:line="288" w:lineRule="auto"/>
        <w:jc w:val="both"/>
        <w:rPr>
          <w:rFonts w:ascii="Cambria" w:hAnsi="Cambria"/>
          <w:sz w:val="26"/>
          <w:szCs w:val="26"/>
        </w:rPr>
      </w:pPr>
      <w:r w:rsidRPr="00CB2CE9">
        <w:rPr>
          <w:rFonts w:ascii="Cambria" w:hAnsi="Cambria"/>
          <w:noProof/>
          <w:lang w:eastAsia="it-IT"/>
        </w:rPr>
        <w:drawing>
          <wp:inline distT="0" distB="0" distL="0" distR="0" wp14:anchorId="74CC48A4" wp14:editId="5C0BAB5F">
            <wp:extent cx="5940000" cy="425160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000" cy="4251600"/>
                    </a:xfrm>
                    <a:prstGeom prst="rect">
                      <a:avLst/>
                    </a:prstGeom>
                    <a:noFill/>
                    <a:ln>
                      <a:noFill/>
                    </a:ln>
                  </pic:spPr>
                </pic:pic>
              </a:graphicData>
            </a:graphic>
          </wp:inline>
        </w:drawing>
      </w:r>
    </w:p>
    <w:p w:rsidR="00B36C50" w:rsidRPr="00CB2CE9" w:rsidRDefault="00F37027" w:rsidP="005E217B">
      <w:pPr>
        <w:spacing w:before="120" w:after="0" w:line="240" w:lineRule="auto"/>
        <w:jc w:val="both"/>
        <w:rPr>
          <w:rFonts w:ascii="Cambria" w:hAnsi="Cambria"/>
        </w:rPr>
      </w:pPr>
      <w:r w:rsidRPr="00CB2CE9">
        <w:rPr>
          <w:rFonts w:ascii="Cambria" w:hAnsi="Cambria"/>
        </w:rPr>
        <w:t>Gli esiti della valutazione sono consegnati all’interessato</w:t>
      </w:r>
      <w:r w:rsidR="00D56C27" w:rsidRPr="00CB2CE9">
        <w:rPr>
          <w:rFonts w:ascii="Cambria" w:hAnsi="Cambria"/>
        </w:rPr>
        <w:t>, il quale, fatto salvo quanto previsto dal successivo punto 7, sottoscrive la scheda</w:t>
      </w:r>
      <w:r w:rsidR="00654AFD" w:rsidRPr="00CB2CE9">
        <w:rPr>
          <w:rFonts w:ascii="Cambria" w:hAnsi="Cambria"/>
        </w:rPr>
        <w:t>,</w:t>
      </w:r>
      <w:r w:rsidR="00D56C27" w:rsidRPr="00CB2CE9">
        <w:rPr>
          <w:rFonts w:ascii="Cambria" w:hAnsi="Cambria"/>
        </w:rPr>
        <w:t xml:space="preserve"> per adesione</w:t>
      </w:r>
      <w:r w:rsidRPr="00CB2CE9">
        <w:rPr>
          <w:rFonts w:ascii="Cambria" w:hAnsi="Cambria"/>
        </w:rPr>
        <w:t>.</w:t>
      </w:r>
    </w:p>
    <w:p w:rsidR="005E217B" w:rsidRDefault="005E217B">
      <w:pPr>
        <w:rPr>
          <w:rFonts w:ascii="Cambria" w:hAnsi="Cambria"/>
          <w:b/>
          <w:color w:val="990000"/>
          <w:sz w:val="28"/>
          <w:szCs w:val="28"/>
        </w:rPr>
      </w:pPr>
      <w:bookmarkStart w:id="9" w:name="_Toc411839793"/>
      <w:r>
        <w:rPr>
          <w:rFonts w:ascii="Cambria" w:hAnsi="Cambria"/>
          <w:b/>
          <w:color w:val="990000"/>
          <w:sz w:val="28"/>
          <w:szCs w:val="28"/>
        </w:rPr>
        <w:br w:type="page"/>
      </w:r>
    </w:p>
    <w:p w:rsidR="00B36C50" w:rsidRPr="00CB2CE9" w:rsidRDefault="00B406C1" w:rsidP="005E217B">
      <w:pPr>
        <w:pStyle w:val="Titolo1"/>
        <w:numPr>
          <w:ilvl w:val="0"/>
          <w:numId w:val="1"/>
        </w:numPr>
        <w:spacing w:before="0" w:line="240" w:lineRule="auto"/>
        <w:ind w:left="340" w:hanging="340"/>
        <w:rPr>
          <w:rFonts w:ascii="Cambria" w:eastAsiaTheme="minorHAnsi" w:hAnsi="Cambria" w:cstheme="minorBidi"/>
          <w:b/>
          <w:color w:val="990000"/>
          <w:sz w:val="28"/>
          <w:szCs w:val="28"/>
        </w:rPr>
      </w:pPr>
      <w:r w:rsidRPr="00CB2CE9">
        <w:rPr>
          <w:rFonts w:ascii="Cambria" w:eastAsiaTheme="minorHAnsi" w:hAnsi="Cambria" w:cstheme="minorBidi"/>
          <w:b/>
          <w:color w:val="990000"/>
          <w:sz w:val="28"/>
          <w:szCs w:val="28"/>
        </w:rPr>
        <w:t>La valutazione dei dipendenti</w:t>
      </w:r>
      <w:r w:rsidR="00B36C50" w:rsidRPr="00CB2CE9">
        <w:rPr>
          <w:rFonts w:ascii="Cambria" w:eastAsiaTheme="minorHAnsi" w:hAnsi="Cambria" w:cstheme="minorBidi"/>
          <w:b/>
          <w:color w:val="990000"/>
          <w:sz w:val="28"/>
          <w:szCs w:val="28"/>
        </w:rPr>
        <w:t>.</w:t>
      </w:r>
      <w:bookmarkEnd w:id="9"/>
    </w:p>
    <w:p w:rsidR="00F37027" w:rsidRPr="00CB2CE9" w:rsidRDefault="0000111D" w:rsidP="005E217B">
      <w:pPr>
        <w:spacing w:before="120" w:after="120" w:line="240" w:lineRule="auto"/>
        <w:jc w:val="both"/>
        <w:rPr>
          <w:rFonts w:ascii="Cambria" w:hAnsi="Cambria"/>
        </w:rPr>
      </w:pPr>
      <w:r w:rsidRPr="00CB2CE9">
        <w:rPr>
          <w:rFonts w:ascii="Cambria" w:hAnsi="Cambria"/>
        </w:rPr>
        <w:t xml:space="preserve">Per i </w:t>
      </w:r>
      <w:r w:rsidR="00F37027" w:rsidRPr="00CB2CE9">
        <w:rPr>
          <w:rFonts w:ascii="Cambria" w:hAnsi="Cambria"/>
        </w:rPr>
        <w:t>dipendenti</w:t>
      </w:r>
      <w:r w:rsidRPr="00CB2CE9">
        <w:rPr>
          <w:rFonts w:ascii="Cambria" w:hAnsi="Cambria"/>
        </w:rPr>
        <w:t>, invece, ciascuno dei tre fattori di apprezzamento è oggetto di valutazione autonoma, seppure con un peso potenziato per quello riferito alla capacità operativa, come evidenziato dalla seguente scheda</w:t>
      </w:r>
      <w:r w:rsidR="00F37027" w:rsidRPr="00CB2CE9">
        <w:rPr>
          <w:rFonts w:ascii="Cambria" w:hAnsi="Cambria"/>
        </w:rPr>
        <w:t>:</w:t>
      </w:r>
    </w:p>
    <w:p w:rsidR="007371C1" w:rsidRPr="00CB2CE9" w:rsidRDefault="00D6531B" w:rsidP="00F37027">
      <w:pPr>
        <w:spacing w:after="60" w:line="288" w:lineRule="auto"/>
        <w:jc w:val="both"/>
        <w:rPr>
          <w:rFonts w:ascii="Cambria" w:hAnsi="Cambria"/>
          <w:sz w:val="26"/>
          <w:szCs w:val="26"/>
        </w:rPr>
      </w:pPr>
      <w:r w:rsidRPr="00CB2CE9">
        <w:rPr>
          <w:rFonts w:ascii="Cambria" w:hAnsi="Cambria"/>
          <w:noProof/>
          <w:lang w:eastAsia="it-IT"/>
        </w:rPr>
        <w:drawing>
          <wp:inline distT="0" distB="0" distL="0" distR="0" wp14:anchorId="46BA35A6" wp14:editId="70A90ED9">
            <wp:extent cx="5936400" cy="3290400"/>
            <wp:effectExtent l="0" t="0" r="762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6400" cy="3290400"/>
                    </a:xfrm>
                    <a:prstGeom prst="rect">
                      <a:avLst/>
                    </a:prstGeom>
                    <a:noFill/>
                    <a:ln>
                      <a:noFill/>
                    </a:ln>
                  </pic:spPr>
                </pic:pic>
              </a:graphicData>
            </a:graphic>
          </wp:inline>
        </w:drawing>
      </w:r>
    </w:p>
    <w:p w:rsidR="00716CE2" w:rsidRPr="005E217B" w:rsidRDefault="00F37027" w:rsidP="005E217B">
      <w:pPr>
        <w:spacing w:before="120" w:after="0" w:line="240" w:lineRule="auto"/>
        <w:jc w:val="both"/>
        <w:rPr>
          <w:rFonts w:ascii="Cambria" w:hAnsi="Cambria"/>
        </w:rPr>
      </w:pPr>
      <w:r w:rsidRPr="005E217B">
        <w:rPr>
          <w:rFonts w:ascii="Cambria" w:hAnsi="Cambria"/>
        </w:rPr>
        <w:t>Gli esiti della valutazione sono consegnati all’interessato</w:t>
      </w:r>
      <w:r w:rsidR="00D56C27" w:rsidRPr="005E217B">
        <w:rPr>
          <w:rFonts w:ascii="Cambria" w:hAnsi="Cambria"/>
        </w:rPr>
        <w:t>, il quale, fatto salvo quanto previsto dal successivo punto 7, sottoscrive la scheda</w:t>
      </w:r>
      <w:r w:rsidR="00654AFD" w:rsidRPr="005E217B">
        <w:rPr>
          <w:rFonts w:ascii="Cambria" w:hAnsi="Cambria"/>
        </w:rPr>
        <w:t>,</w:t>
      </w:r>
      <w:r w:rsidR="00D56C27" w:rsidRPr="005E217B">
        <w:rPr>
          <w:rFonts w:ascii="Cambria" w:hAnsi="Cambria"/>
        </w:rPr>
        <w:t xml:space="preserve"> per adesione</w:t>
      </w:r>
      <w:r w:rsidRPr="005E217B">
        <w:rPr>
          <w:rFonts w:ascii="Cambria" w:hAnsi="Cambria"/>
        </w:rPr>
        <w:t xml:space="preserve">. </w:t>
      </w:r>
      <w:r w:rsidR="00B36C50" w:rsidRPr="005E217B">
        <w:rPr>
          <w:rFonts w:ascii="Cambria" w:hAnsi="Cambria"/>
        </w:rPr>
        <w:t xml:space="preserve"> </w:t>
      </w:r>
    </w:p>
    <w:p w:rsidR="003308CA" w:rsidRPr="005E217B" w:rsidRDefault="00F37027" w:rsidP="005E217B">
      <w:pPr>
        <w:pStyle w:val="Titolo1"/>
        <w:numPr>
          <w:ilvl w:val="0"/>
          <w:numId w:val="1"/>
        </w:numPr>
        <w:spacing w:before="360" w:line="240" w:lineRule="auto"/>
        <w:ind w:left="340" w:hanging="340"/>
        <w:jc w:val="both"/>
        <w:rPr>
          <w:rFonts w:ascii="Cambria" w:eastAsiaTheme="minorHAnsi" w:hAnsi="Cambria" w:cstheme="minorBidi"/>
          <w:b/>
          <w:color w:val="990000"/>
          <w:sz w:val="28"/>
          <w:szCs w:val="28"/>
        </w:rPr>
      </w:pPr>
      <w:bookmarkStart w:id="10" w:name="_Toc411839794"/>
      <w:r w:rsidRPr="005E217B">
        <w:rPr>
          <w:rFonts w:ascii="Cambria" w:eastAsiaTheme="minorHAnsi" w:hAnsi="Cambria" w:cstheme="minorBidi"/>
          <w:b/>
          <w:color w:val="990000"/>
          <w:sz w:val="28"/>
          <w:szCs w:val="28"/>
        </w:rPr>
        <w:t>Il raccordo tra valutazione e compensi</w:t>
      </w:r>
      <w:r w:rsidR="003308CA" w:rsidRPr="005E217B">
        <w:rPr>
          <w:rFonts w:ascii="Cambria" w:eastAsiaTheme="minorHAnsi" w:hAnsi="Cambria" w:cstheme="minorBidi"/>
          <w:b/>
          <w:color w:val="990000"/>
          <w:sz w:val="28"/>
          <w:szCs w:val="28"/>
        </w:rPr>
        <w:t>.</w:t>
      </w:r>
      <w:bookmarkEnd w:id="10"/>
    </w:p>
    <w:p w:rsidR="00BE743F" w:rsidRPr="005E217B" w:rsidRDefault="00F37027" w:rsidP="005E217B">
      <w:pPr>
        <w:spacing w:before="120" w:after="120" w:line="240" w:lineRule="auto"/>
        <w:jc w:val="both"/>
        <w:rPr>
          <w:rFonts w:ascii="Cambria" w:hAnsi="Cambria"/>
        </w:rPr>
      </w:pPr>
      <w:r w:rsidRPr="005E217B">
        <w:rPr>
          <w:rFonts w:ascii="Cambria" w:hAnsi="Cambria"/>
        </w:rPr>
        <w:t xml:space="preserve">La </w:t>
      </w:r>
      <w:r w:rsidR="00BE743F" w:rsidRPr="005E217B">
        <w:rPr>
          <w:rFonts w:ascii="Cambria" w:hAnsi="Cambria"/>
        </w:rPr>
        <w:t>tabella di raccordo è la seguente:</w:t>
      </w:r>
    </w:p>
    <w:tbl>
      <w:tblPr>
        <w:tblW w:w="0" w:type="auto"/>
        <w:jc w:val="center"/>
        <w:tblCellSpacing w:w="20" w:type="dxa"/>
        <w:tblInd w:w="-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029"/>
        <w:gridCol w:w="4029"/>
      </w:tblGrid>
      <w:tr w:rsidR="0090287C" w:rsidRPr="00CB2CE9" w:rsidTr="005E217B">
        <w:trPr>
          <w:cantSplit/>
          <w:tblHeader/>
          <w:tblCellSpacing w:w="20" w:type="dxa"/>
          <w:jc w:val="center"/>
        </w:trPr>
        <w:tc>
          <w:tcPr>
            <w:tcW w:w="3969" w:type="dxa"/>
            <w:tcBorders>
              <w:top w:val="single" w:sz="2" w:space="0" w:color="FF0000"/>
              <w:left w:val="single" w:sz="2" w:space="0" w:color="FF0000"/>
            </w:tcBorders>
            <w:shd w:val="clear" w:color="auto" w:fill="F2F2F2"/>
            <w:vAlign w:val="center"/>
          </w:tcPr>
          <w:p w:rsidR="00BE743F" w:rsidRPr="00CB2CE9" w:rsidRDefault="00BE743F" w:rsidP="00BE743F">
            <w:pPr>
              <w:autoSpaceDE w:val="0"/>
              <w:autoSpaceDN w:val="0"/>
              <w:adjustRightInd w:val="0"/>
              <w:spacing w:after="0" w:line="240" w:lineRule="auto"/>
              <w:jc w:val="center"/>
              <w:rPr>
                <w:rFonts w:ascii="Cambria" w:eastAsia="Times New Roman" w:hAnsi="Cambria" w:cs="Verdana"/>
                <w:b/>
                <w:bCs/>
                <w:color w:val="000000"/>
                <w:lang w:eastAsia="it-IT"/>
              </w:rPr>
            </w:pPr>
            <w:r w:rsidRPr="00CB2CE9">
              <w:rPr>
                <w:rFonts w:ascii="Cambria" w:eastAsia="Times New Roman" w:hAnsi="Cambria" w:cs="Verdana"/>
                <w:b/>
                <w:bCs/>
                <w:color w:val="000000"/>
                <w:lang w:eastAsia="it-IT"/>
              </w:rPr>
              <w:t>Valutazione ottenuta</w:t>
            </w:r>
          </w:p>
        </w:tc>
        <w:tc>
          <w:tcPr>
            <w:tcW w:w="3969" w:type="dxa"/>
            <w:tcBorders>
              <w:top w:val="single" w:sz="2" w:space="0" w:color="FF0000"/>
              <w:left w:val="single" w:sz="2" w:space="0" w:color="FF0000"/>
            </w:tcBorders>
            <w:shd w:val="clear" w:color="auto" w:fill="F2F2F2"/>
          </w:tcPr>
          <w:p w:rsidR="00BE743F" w:rsidRPr="00CB2CE9" w:rsidRDefault="00A84F8B" w:rsidP="00BE743F">
            <w:pPr>
              <w:autoSpaceDE w:val="0"/>
              <w:autoSpaceDN w:val="0"/>
              <w:adjustRightInd w:val="0"/>
              <w:spacing w:after="0" w:line="240" w:lineRule="auto"/>
              <w:jc w:val="center"/>
              <w:rPr>
                <w:rFonts w:ascii="Cambria" w:eastAsia="Times New Roman" w:hAnsi="Cambria" w:cs="Verdana"/>
                <w:b/>
                <w:bCs/>
                <w:color w:val="000000"/>
                <w:lang w:eastAsia="it-IT"/>
              </w:rPr>
            </w:pPr>
            <w:r w:rsidRPr="00CB2CE9">
              <w:rPr>
                <w:rFonts w:ascii="Cambria" w:eastAsia="Times New Roman" w:hAnsi="Cambria" w:cs="Verdana"/>
                <w:b/>
                <w:bCs/>
                <w:color w:val="000000"/>
                <w:lang w:eastAsia="it-IT"/>
              </w:rPr>
              <w:t xml:space="preserve">% </w:t>
            </w:r>
            <w:r w:rsidR="0087593E" w:rsidRPr="00CB2CE9">
              <w:rPr>
                <w:rFonts w:ascii="Cambria" w:eastAsia="Times New Roman" w:hAnsi="Cambria" w:cs="Verdana"/>
                <w:b/>
                <w:bCs/>
                <w:color w:val="000000"/>
                <w:lang w:eastAsia="it-IT"/>
              </w:rPr>
              <w:t>Compenso riconosciuto</w:t>
            </w:r>
          </w:p>
        </w:tc>
      </w:tr>
      <w:tr w:rsidR="0087593E" w:rsidRPr="00CB2CE9" w:rsidTr="005E217B">
        <w:trPr>
          <w:cantSplit/>
          <w:tblCellSpacing w:w="20" w:type="dxa"/>
          <w:jc w:val="center"/>
        </w:trPr>
        <w:tc>
          <w:tcPr>
            <w:tcW w:w="3969" w:type="dxa"/>
            <w:tcBorders>
              <w:left w:val="single" w:sz="2" w:space="0" w:color="FF0000"/>
            </w:tcBorders>
            <w:shd w:val="clear" w:color="auto" w:fill="FFFFFF"/>
            <w:vAlign w:val="center"/>
          </w:tcPr>
          <w:p w:rsidR="0087593E" w:rsidRPr="00CB2CE9" w:rsidRDefault="00A84F8B" w:rsidP="0087593E">
            <w:pPr>
              <w:autoSpaceDE w:val="0"/>
              <w:autoSpaceDN w:val="0"/>
              <w:adjustRightInd w:val="0"/>
              <w:spacing w:after="0" w:line="240" w:lineRule="auto"/>
              <w:jc w:val="center"/>
              <w:rPr>
                <w:rFonts w:ascii="Cambria" w:eastAsia="Times New Roman" w:hAnsi="Cambria" w:cs="Verdana"/>
                <w:color w:val="000000"/>
                <w:lang w:eastAsia="it-IT"/>
              </w:rPr>
            </w:pPr>
            <w:r w:rsidRPr="00CB2CE9">
              <w:rPr>
                <w:rFonts w:ascii="Cambria" w:eastAsia="Times New Roman" w:hAnsi="Cambria" w:cs="Verdana"/>
                <w:color w:val="000000"/>
                <w:lang w:eastAsia="it-IT"/>
              </w:rPr>
              <w:t>S</w:t>
            </w:r>
            <w:r w:rsidR="0087593E" w:rsidRPr="00CB2CE9">
              <w:rPr>
                <w:rFonts w:ascii="Cambria" w:eastAsia="Times New Roman" w:hAnsi="Cambria" w:cs="Verdana"/>
                <w:color w:val="000000"/>
                <w:lang w:eastAsia="it-IT"/>
              </w:rPr>
              <w:t>uperiore a 90</w:t>
            </w:r>
          </w:p>
        </w:tc>
        <w:tc>
          <w:tcPr>
            <w:tcW w:w="3969" w:type="dxa"/>
            <w:tcBorders>
              <w:left w:val="single" w:sz="2" w:space="0" w:color="FF0000"/>
              <w:right w:val="single" w:sz="2" w:space="0" w:color="FF0000"/>
            </w:tcBorders>
            <w:shd w:val="clear" w:color="auto" w:fill="FFFFFF"/>
            <w:vAlign w:val="center"/>
          </w:tcPr>
          <w:p w:rsidR="0087593E" w:rsidRPr="00CB2CE9" w:rsidRDefault="0087593E" w:rsidP="00BE743F">
            <w:pPr>
              <w:autoSpaceDE w:val="0"/>
              <w:autoSpaceDN w:val="0"/>
              <w:adjustRightInd w:val="0"/>
              <w:spacing w:after="0" w:line="240" w:lineRule="auto"/>
              <w:jc w:val="center"/>
              <w:rPr>
                <w:rFonts w:ascii="Cambria" w:eastAsia="Times New Roman" w:hAnsi="Cambria" w:cs="Verdana"/>
                <w:color w:val="000000"/>
                <w:lang w:eastAsia="it-IT"/>
              </w:rPr>
            </w:pPr>
            <w:r w:rsidRPr="00CB2CE9">
              <w:rPr>
                <w:rFonts w:ascii="Cambria" w:eastAsia="Times New Roman" w:hAnsi="Cambria" w:cs="Verdana"/>
                <w:color w:val="000000"/>
                <w:lang w:eastAsia="it-IT"/>
              </w:rPr>
              <w:t xml:space="preserve">100% </w:t>
            </w:r>
          </w:p>
        </w:tc>
      </w:tr>
      <w:tr w:rsidR="0087593E" w:rsidRPr="00CB2CE9" w:rsidTr="005E217B">
        <w:trPr>
          <w:cantSplit/>
          <w:tblCellSpacing w:w="20" w:type="dxa"/>
          <w:jc w:val="center"/>
        </w:trPr>
        <w:tc>
          <w:tcPr>
            <w:tcW w:w="3969" w:type="dxa"/>
            <w:tcBorders>
              <w:left w:val="single" w:sz="2" w:space="0" w:color="FF0000"/>
            </w:tcBorders>
            <w:shd w:val="clear" w:color="auto" w:fill="FFFFFF"/>
            <w:vAlign w:val="center"/>
          </w:tcPr>
          <w:p w:rsidR="0087593E" w:rsidRPr="00CB2CE9" w:rsidRDefault="00A84F8B" w:rsidP="00B36C54">
            <w:pPr>
              <w:autoSpaceDE w:val="0"/>
              <w:autoSpaceDN w:val="0"/>
              <w:adjustRightInd w:val="0"/>
              <w:spacing w:after="0" w:line="240" w:lineRule="auto"/>
              <w:jc w:val="center"/>
              <w:rPr>
                <w:rFonts w:ascii="Cambria" w:eastAsia="Times New Roman" w:hAnsi="Cambria" w:cs="Verdana"/>
                <w:color w:val="000000"/>
                <w:lang w:eastAsia="it-IT"/>
              </w:rPr>
            </w:pPr>
            <w:r w:rsidRPr="00CB2CE9">
              <w:rPr>
                <w:rFonts w:ascii="Cambria" w:eastAsia="Times New Roman" w:hAnsi="Cambria" w:cs="Verdana"/>
                <w:color w:val="000000"/>
                <w:lang w:eastAsia="it-IT"/>
              </w:rPr>
              <w:t>S</w:t>
            </w:r>
            <w:r w:rsidR="0087593E" w:rsidRPr="00CB2CE9">
              <w:rPr>
                <w:rFonts w:ascii="Cambria" w:eastAsia="Times New Roman" w:hAnsi="Cambria" w:cs="Verdana"/>
                <w:color w:val="000000"/>
                <w:lang w:eastAsia="it-IT"/>
              </w:rPr>
              <w:t xml:space="preserve">uperiore a </w:t>
            </w:r>
            <w:r w:rsidR="006D07D4" w:rsidRPr="00CB2CE9">
              <w:rPr>
                <w:rFonts w:ascii="Cambria" w:eastAsia="Times New Roman" w:hAnsi="Cambria" w:cs="Verdana"/>
                <w:color w:val="000000"/>
                <w:lang w:eastAsia="it-IT"/>
              </w:rPr>
              <w:t>8</w:t>
            </w:r>
            <w:r w:rsidR="0087593E" w:rsidRPr="00CB2CE9">
              <w:rPr>
                <w:rFonts w:ascii="Cambria" w:eastAsia="Times New Roman" w:hAnsi="Cambria" w:cs="Verdana"/>
                <w:color w:val="000000"/>
                <w:lang w:eastAsia="it-IT"/>
              </w:rPr>
              <w:t xml:space="preserve">0 e </w:t>
            </w:r>
            <w:r w:rsidR="00B36C54" w:rsidRPr="00CB2CE9">
              <w:rPr>
                <w:rFonts w:ascii="Cambria" w:eastAsia="Times New Roman" w:hAnsi="Cambria" w:cs="Verdana"/>
                <w:color w:val="000000"/>
                <w:lang w:eastAsia="it-IT"/>
              </w:rPr>
              <w:t>fino</w:t>
            </w:r>
            <w:r w:rsidR="0087593E" w:rsidRPr="00CB2CE9">
              <w:rPr>
                <w:rFonts w:ascii="Cambria" w:eastAsia="Times New Roman" w:hAnsi="Cambria" w:cs="Verdana"/>
                <w:color w:val="000000"/>
                <w:lang w:eastAsia="it-IT"/>
              </w:rPr>
              <w:t xml:space="preserve"> a 90</w:t>
            </w:r>
          </w:p>
        </w:tc>
        <w:tc>
          <w:tcPr>
            <w:tcW w:w="3969" w:type="dxa"/>
            <w:tcBorders>
              <w:left w:val="single" w:sz="2" w:space="0" w:color="FF0000"/>
              <w:right w:val="single" w:sz="2" w:space="0" w:color="FF0000"/>
            </w:tcBorders>
            <w:shd w:val="clear" w:color="auto" w:fill="FFFFFF"/>
            <w:vAlign w:val="center"/>
          </w:tcPr>
          <w:p w:rsidR="0087593E" w:rsidRPr="00CB2CE9" w:rsidRDefault="006D07D4" w:rsidP="00BE743F">
            <w:pPr>
              <w:autoSpaceDE w:val="0"/>
              <w:autoSpaceDN w:val="0"/>
              <w:adjustRightInd w:val="0"/>
              <w:spacing w:after="0" w:line="240" w:lineRule="auto"/>
              <w:jc w:val="center"/>
              <w:rPr>
                <w:rFonts w:ascii="Cambria" w:eastAsia="Times New Roman" w:hAnsi="Cambria" w:cs="Verdana"/>
                <w:color w:val="000000"/>
                <w:lang w:eastAsia="it-IT"/>
              </w:rPr>
            </w:pPr>
            <w:r w:rsidRPr="00CB2CE9">
              <w:rPr>
                <w:rFonts w:ascii="Cambria" w:eastAsia="Times New Roman" w:hAnsi="Cambria" w:cs="Verdana"/>
                <w:color w:val="000000"/>
                <w:lang w:eastAsia="it-IT"/>
              </w:rPr>
              <w:t>9</w:t>
            </w:r>
            <w:r w:rsidR="0087593E" w:rsidRPr="00CB2CE9">
              <w:rPr>
                <w:rFonts w:ascii="Cambria" w:eastAsia="Times New Roman" w:hAnsi="Cambria" w:cs="Verdana"/>
                <w:color w:val="000000"/>
                <w:lang w:eastAsia="it-IT"/>
              </w:rPr>
              <w:t>0%</w:t>
            </w:r>
          </w:p>
        </w:tc>
      </w:tr>
      <w:tr w:rsidR="0087593E" w:rsidRPr="00CB2CE9" w:rsidTr="005E217B">
        <w:trPr>
          <w:cantSplit/>
          <w:tblCellSpacing w:w="20" w:type="dxa"/>
          <w:jc w:val="center"/>
        </w:trPr>
        <w:tc>
          <w:tcPr>
            <w:tcW w:w="3969" w:type="dxa"/>
            <w:tcBorders>
              <w:left w:val="single" w:sz="2" w:space="0" w:color="FF0000"/>
            </w:tcBorders>
            <w:shd w:val="clear" w:color="auto" w:fill="FFFFFF"/>
            <w:vAlign w:val="center"/>
          </w:tcPr>
          <w:p w:rsidR="0087593E" w:rsidRPr="00CB2CE9" w:rsidRDefault="00B36C54" w:rsidP="00B36C54">
            <w:pPr>
              <w:autoSpaceDE w:val="0"/>
              <w:autoSpaceDN w:val="0"/>
              <w:adjustRightInd w:val="0"/>
              <w:spacing w:after="0" w:line="240" w:lineRule="auto"/>
              <w:jc w:val="center"/>
              <w:rPr>
                <w:rFonts w:ascii="Cambria" w:eastAsia="Times New Roman" w:hAnsi="Cambria" w:cs="Verdana"/>
                <w:color w:val="000000"/>
                <w:lang w:eastAsia="it-IT"/>
              </w:rPr>
            </w:pPr>
            <w:r w:rsidRPr="00CB2CE9">
              <w:rPr>
                <w:rFonts w:ascii="Cambria" w:eastAsia="Times New Roman" w:hAnsi="Cambria" w:cs="Verdana"/>
                <w:color w:val="000000"/>
                <w:lang w:eastAsia="it-IT"/>
              </w:rPr>
              <w:t>S</w:t>
            </w:r>
            <w:r w:rsidR="0087593E" w:rsidRPr="00CB2CE9">
              <w:rPr>
                <w:rFonts w:ascii="Cambria" w:eastAsia="Times New Roman" w:hAnsi="Cambria" w:cs="Verdana"/>
                <w:color w:val="000000"/>
                <w:lang w:eastAsia="it-IT"/>
              </w:rPr>
              <w:t xml:space="preserve">uperiore a </w:t>
            </w:r>
            <w:r w:rsidRPr="00CB2CE9">
              <w:rPr>
                <w:rFonts w:ascii="Cambria" w:eastAsia="Times New Roman" w:hAnsi="Cambria" w:cs="Verdana"/>
                <w:color w:val="000000"/>
                <w:lang w:eastAsia="it-IT"/>
              </w:rPr>
              <w:t>7</w:t>
            </w:r>
            <w:r w:rsidR="0087593E" w:rsidRPr="00CB2CE9">
              <w:rPr>
                <w:rFonts w:ascii="Cambria" w:eastAsia="Times New Roman" w:hAnsi="Cambria" w:cs="Verdana"/>
                <w:color w:val="000000"/>
                <w:lang w:eastAsia="it-IT"/>
              </w:rPr>
              <w:t xml:space="preserve">0 e </w:t>
            </w:r>
            <w:r w:rsidRPr="00CB2CE9">
              <w:rPr>
                <w:rFonts w:ascii="Cambria" w:eastAsia="Times New Roman" w:hAnsi="Cambria" w:cs="Verdana"/>
                <w:color w:val="000000"/>
                <w:lang w:eastAsia="it-IT"/>
              </w:rPr>
              <w:t>fino</w:t>
            </w:r>
            <w:r w:rsidR="0087593E" w:rsidRPr="00CB2CE9">
              <w:rPr>
                <w:rFonts w:ascii="Cambria" w:eastAsia="Times New Roman" w:hAnsi="Cambria" w:cs="Verdana"/>
                <w:color w:val="000000"/>
                <w:lang w:eastAsia="it-IT"/>
              </w:rPr>
              <w:t xml:space="preserve"> a </w:t>
            </w:r>
            <w:r w:rsidR="006D07D4" w:rsidRPr="00CB2CE9">
              <w:rPr>
                <w:rFonts w:ascii="Cambria" w:eastAsia="Times New Roman" w:hAnsi="Cambria" w:cs="Verdana"/>
                <w:color w:val="000000"/>
                <w:lang w:eastAsia="it-IT"/>
              </w:rPr>
              <w:t>8</w:t>
            </w:r>
            <w:r w:rsidR="0087593E" w:rsidRPr="00CB2CE9">
              <w:rPr>
                <w:rFonts w:ascii="Cambria" w:eastAsia="Times New Roman" w:hAnsi="Cambria" w:cs="Verdana"/>
                <w:color w:val="000000"/>
                <w:lang w:eastAsia="it-IT"/>
              </w:rPr>
              <w:t xml:space="preserve">0 </w:t>
            </w:r>
          </w:p>
        </w:tc>
        <w:tc>
          <w:tcPr>
            <w:tcW w:w="3969" w:type="dxa"/>
            <w:tcBorders>
              <w:left w:val="single" w:sz="2" w:space="0" w:color="FF0000"/>
              <w:right w:val="single" w:sz="2" w:space="0" w:color="FF0000"/>
            </w:tcBorders>
            <w:shd w:val="clear" w:color="auto" w:fill="FFFFFF"/>
            <w:vAlign w:val="center"/>
          </w:tcPr>
          <w:p w:rsidR="0087593E" w:rsidRPr="00CB2CE9" w:rsidRDefault="00B36C54" w:rsidP="00BE743F">
            <w:pPr>
              <w:autoSpaceDE w:val="0"/>
              <w:autoSpaceDN w:val="0"/>
              <w:adjustRightInd w:val="0"/>
              <w:spacing w:after="0" w:line="240" w:lineRule="auto"/>
              <w:jc w:val="center"/>
              <w:rPr>
                <w:rFonts w:ascii="Cambria" w:eastAsia="Times New Roman" w:hAnsi="Cambria" w:cs="Verdana"/>
                <w:color w:val="000000"/>
                <w:lang w:eastAsia="it-IT"/>
              </w:rPr>
            </w:pPr>
            <w:r w:rsidRPr="00CB2CE9">
              <w:rPr>
                <w:rFonts w:ascii="Cambria" w:eastAsia="Times New Roman" w:hAnsi="Cambria" w:cs="Verdana"/>
                <w:color w:val="000000"/>
                <w:lang w:eastAsia="it-IT"/>
              </w:rPr>
              <w:t>8</w:t>
            </w:r>
            <w:r w:rsidR="0087593E" w:rsidRPr="00CB2CE9">
              <w:rPr>
                <w:rFonts w:ascii="Cambria" w:eastAsia="Times New Roman" w:hAnsi="Cambria" w:cs="Verdana"/>
                <w:color w:val="000000"/>
                <w:lang w:eastAsia="it-IT"/>
              </w:rPr>
              <w:t>0%</w:t>
            </w:r>
          </w:p>
        </w:tc>
      </w:tr>
      <w:tr w:rsidR="00B36C54" w:rsidRPr="00CB2CE9" w:rsidTr="005E217B">
        <w:trPr>
          <w:cantSplit/>
          <w:tblCellSpacing w:w="20" w:type="dxa"/>
          <w:jc w:val="center"/>
        </w:trPr>
        <w:tc>
          <w:tcPr>
            <w:tcW w:w="3969" w:type="dxa"/>
            <w:tcBorders>
              <w:left w:val="single" w:sz="2" w:space="0" w:color="FF0000"/>
            </w:tcBorders>
            <w:shd w:val="clear" w:color="auto" w:fill="FFFFFF"/>
            <w:vAlign w:val="center"/>
          </w:tcPr>
          <w:p w:rsidR="00B36C54" w:rsidRPr="00CB2CE9" w:rsidRDefault="00B36C54" w:rsidP="00B36C54">
            <w:pPr>
              <w:autoSpaceDE w:val="0"/>
              <w:autoSpaceDN w:val="0"/>
              <w:adjustRightInd w:val="0"/>
              <w:spacing w:after="0" w:line="240" w:lineRule="auto"/>
              <w:jc w:val="center"/>
              <w:rPr>
                <w:rFonts w:ascii="Cambria" w:eastAsia="Times New Roman" w:hAnsi="Cambria" w:cs="Verdana"/>
                <w:color w:val="000000"/>
                <w:lang w:eastAsia="it-IT"/>
              </w:rPr>
            </w:pPr>
            <w:r w:rsidRPr="00CB2CE9">
              <w:rPr>
                <w:rFonts w:ascii="Cambria" w:eastAsia="Times New Roman" w:hAnsi="Cambria" w:cs="Verdana"/>
                <w:color w:val="000000"/>
                <w:lang w:eastAsia="it-IT"/>
              </w:rPr>
              <w:t>Superiore a 60 e fino a 70</w:t>
            </w:r>
          </w:p>
        </w:tc>
        <w:tc>
          <w:tcPr>
            <w:tcW w:w="3969" w:type="dxa"/>
            <w:tcBorders>
              <w:left w:val="single" w:sz="2" w:space="0" w:color="FF0000"/>
              <w:right w:val="single" w:sz="2" w:space="0" w:color="FF0000"/>
            </w:tcBorders>
            <w:shd w:val="clear" w:color="auto" w:fill="FFFFFF"/>
            <w:vAlign w:val="center"/>
          </w:tcPr>
          <w:p w:rsidR="00B36C54" w:rsidRPr="00CB2CE9" w:rsidRDefault="00B36C54" w:rsidP="00BE743F">
            <w:pPr>
              <w:autoSpaceDE w:val="0"/>
              <w:autoSpaceDN w:val="0"/>
              <w:adjustRightInd w:val="0"/>
              <w:spacing w:after="0" w:line="240" w:lineRule="auto"/>
              <w:jc w:val="center"/>
              <w:rPr>
                <w:rFonts w:ascii="Cambria" w:eastAsia="Times New Roman" w:hAnsi="Cambria" w:cs="Verdana"/>
                <w:color w:val="000000"/>
                <w:lang w:eastAsia="it-IT"/>
              </w:rPr>
            </w:pPr>
            <w:r w:rsidRPr="00CB2CE9">
              <w:rPr>
                <w:rFonts w:ascii="Cambria" w:eastAsia="Times New Roman" w:hAnsi="Cambria" w:cs="Verdana"/>
                <w:color w:val="000000"/>
                <w:lang w:eastAsia="it-IT"/>
              </w:rPr>
              <w:t>65%</w:t>
            </w:r>
          </w:p>
        </w:tc>
      </w:tr>
      <w:tr w:rsidR="006D07D4" w:rsidRPr="00CB2CE9" w:rsidTr="005E217B">
        <w:trPr>
          <w:cantSplit/>
          <w:tblCellSpacing w:w="20" w:type="dxa"/>
          <w:jc w:val="center"/>
        </w:trPr>
        <w:tc>
          <w:tcPr>
            <w:tcW w:w="3969" w:type="dxa"/>
            <w:tcBorders>
              <w:left w:val="single" w:sz="2" w:space="0" w:color="FF0000"/>
            </w:tcBorders>
            <w:shd w:val="clear" w:color="auto" w:fill="FFFFFF"/>
            <w:vAlign w:val="center"/>
          </w:tcPr>
          <w:p w:rsidR="006D07D4" w:rsidRPr="00CB2CE9" w:rsidRDefault="00B36C54" w:rsidP="00B36C54">
            <w:pPr>
              <w:autoSpaceDE w:val="0"/>
              <w:autoSpaceDN w:val="0"/>
              <w:adjustRightInd w:val="0"/>
              <w:spacing w:after="0" w:line="240" w:lineRule="auto"/>
              <w:jc w:val="center"/>
              <w:rPr>
                <w:rFonts w:ascii="Cambria" w:eastAsia="Times New Roman" w:hAnsi="Cambria" w:cs="Verdana"/>
                <w:color w:val="000000"/>
                <w:lang w:eastAsia="it-IT"/>
              </w:rPr>
            </w:pPr>
            <w:r w:rsidRPr="00CB2CE9">
              <w:rPr>
                <w:rFonts w:ascii="Cambria" w:eastAsia="Times New Roman" w:hAnsi="Cambria" w:cs="Verdana"/>
                <w:color w:val="000000"/>
                <w:lang w:eastAsia="it-IT"/>
              </w:rPr>
              <w:t xml:space="preserve">Pari o superiore a 50 e fino </w:t>
            </w:r>
            <w:r w:rsidR="006D07D4" w:rsidRPr="00CB2CE9">
              <w:rPr>
                <w:rFonts w:ascii="Cambria" w:eastAsia="Times New Roman" w:hAnsi="Cambria" w:cs="Verdana"/>
                <w:color w:val="000000"/>
                <w:lang w:eastAsia="it-IT"/>
              </w:rPr>
              <w:t>a 60</w:t>
            </w:r>
          </w:p>
        </w:tc>
        <w:tc>
          <w:tcPr>
            <w:tcW w:w="3969" w:type="dxa"/>
            <w:tcBorders>
              <w:left w:val="single" w:sz="2" w:space="0" w:color="FF0000"/>
              <w:right w:val="single" w:sz="2" w:space="0" w:color="FF0000"/>
            </w:tcBorders>
            <w:shd w:val="clear" w:color="auto" w:fill="FFFFFF"/>
            <w:vAlign w:val="center"/>
          </w:tcPr>
          <w:p w:rsidR="006D07D4" w:rsidRPr="00CB2CE9" w:rsidRDefault="006D07D4" w:rsidP="00BE743F">
            <w:pPr>
              <w:autoSpaceDE w:val="0"/>
              <w:autoSpaceDN w:val="0"/>
              <w:adjustRightInd w:val="0"/>
              <w:spacing w:after="0" w:line="240" w:lineRule="auto"/>
              <w:jc w:val="center"/>
              <w:rPr>
                <w:rFonts w:ascii="Cambria" w:eastAsia="Times New Roman" w:hAnsi="Cambria" w:cs="Verdana"/>
                <w:color w:val="000000"/>
                <w:lang w:eastAsia="it-IT"/>
              </w:rPr>
            </w:pPr>
            <w:r w:rsidRPr="00CB2CE9">
              <w:rPr>
                <w:rFonts w:ascii="Cambria" w:eastAsia="Times New Roman" w:hAnsi="Cambria" w:cs="Verdana"/>
                <w:color w:val="000000"/>
                <w:lang w:eastAsia="it-IT"/>
              </w:rPr>
              <w:t>50%</w:t>
            </w:r>
          </w:p>
        </w:tc>
      </w:tr>
      <w:tr w:rsidR="0090287C" w:rsidRPr="00CB2CE9" w:rsidTr="005E217B">
        <w:trPr>
          <w:cantSplit/>
          <w:tblCellSpacing w:w="20" w:type="dxa"/>
          <w:jc w:val="center"/>
        </w:trPr>
        <w:tc>
          <w:tcPr>
            <w:tcW w:w="3969" w:type="dxa"/>
            <w:tcBorders>
              <w:left w:val="single" w:sz="2" w:space="0" w:color="FF0000"/>
            </w:tcBorders>
            <w:shd w:val="clear" w:color="auto" w:fill="FFFFFF"/>
            <w:vAlign w:val="center"/>
          </w:tcPr>
          <w:p w:rsidR="00BE743F" w:rsidRPr="00CB2CE9" w:rsidRDefault="00BE743F" w:rsidP="00BE743F">
            <w:pPr>
              <w:autoSpaceDE w:val="0"/>
              <w:autoSpaceDN w:val="0"/>
              <w:adjustRightInd w:val="0"/>
              <w:spacing w:after="0" w:line="240" w:lineRule="auto"/>
              <w:jc w:val="center"/>
              <w:rPr>
                <w:rFonts w:ascii="Cambria" w:eastAsia="Times New Roman" w:hAnsi="Cambria" w:cs="Verdana"/>
                <w:color w:val="000000"/>
                <w:lang w:eastAsia="it-IT"/>
              </w:rPr>
            </w:pPr>
            <w:r w:rsidRPr="00CB2CE9">
              <w:rPr>
                <w:rFonts w:ascii="Cambria" w:eastAsia="Times New Roman" w:hAnsi="Cambria" w:cs="Verdana"/>
                <w:color w:val="000000"/>
                <w:lang w:eastAsia="it-IT"/>
              </w:rPr>
              <w:t>Inferiore a 50</w:t>
            </w:r>
          </w:p>
        </w:tc>
        <w:tc>
          <w:tcPr>
            <w:tcW w:w="3969" w:type="dxa"/>
            <w:tcBorders>
              <w:left w:val="single" w:sz="2" w:space="0" w:color="FF0000"/>
            </w:tcBorders>
            <w:shd w:val="clear" w:color="auto" w:fill="FFFFFF"/>
            <w:vAlign w:val="center"/>
          </w:tcPr>
          <w:p w:rsidR="00BE743F" w:rsidRPr="00CB2CE9" w:rsidRDefault="00BE743F" w:rsidP="00BE743F">
            <w:pPr>
              <w:autoSpaceDE w:val="0"/>
              <w:autoSpaceDN w:val="0"/>
              <w:adjustRightInd w:val="0"/>
              <w:spacing w:after="0" w:line="240" w:lineRule="auto"/>
              <w:jc w:val="center"/>
              <w:rPr>
                <w:rFonts w:ascii="Cambria" w:eastAsia="Times New Roman" w:hAnsi="Cambria" w:cs="Verdana"/>
                <w:color w:val="000000"/>
                <w:lang w:eastAsia="it-IT"/>
              </w:rPr>
            </w:pPr>
            <w:r w:rsidRPr="00CB2CE9">
              <w:rPr>
                <w:rFonts w:ascii="Cambria" w:eastAsia="Times New Roman" w:hAnsi="Cambria" w:cs="Verdana"/>
                <w:color w:val="000000"/>
                <w:lang w:eastAsia="it-IT"/>
              </w:rPr>
              <w:t>Nessun compenso</w:t>
            </w:r>
          </w:p>
        </w:tc>
      </w:tr>
    </w:tbl>
    <w:p w:rsidR="00BE743F" w:rsidRPr="005E217B" w:rsidRDefault="0087593E" w:rsidP="005E217B">
      <w:pPr>
        <w:spacing w:before="120" w:after="0" w:line="240" w:lineRule="auto"/>
        <w:jc w:val="both"/>
        <w:rPr>
          <w:rFonts w:ascii="Cambria" w:hAnsi="Cambria"/>
        </w:rPr>
      </w:pPr>
      <w:bookmarkStart w:id="11" w:name="_Toc279338309"/>
      <w:bookmarkStart w:id="12" w:name="_Toc279482652"/>
      <w:bookmarkEnd w:id="11"/>
      <w:bookmarkEnd w:id="12"/>
      <w:r w:rsidRPr="005E217B">
        <w:rPr>
          <w:rFonts w:ascii="Cambria" w:hAnsi="Cambria"/>
        </w:rPr>
        <w:t>Per i Responsabili di servizio</w:t>
      </w:r>
      <w:r w:rsidR="006D07D4" w:rsidRPr="005E217B">
        <w:rPr>
          <w:rFonts w:ascii="Cambria" w:hAnsi="Cambria"/>
        </w:rPr>
        <w:t>, la tabella si applica al valore della retribuzione di risultato (percentuale della retribuzione di posizione), prevista dall’Ente.</w:t>
      </w:r>
    </w:p>
    <w:p w:rsidR="006D07D4" w:rsidRPr="005E217B" w:rsidRDefault="006D07D4" w:rsidP="005E217B">
      <w:pPr>
        <w:spacing w:before="120" w:after="0" w:line="240" w:lineRule="auto"/>
        <w:jc w:val="both"/>
        <w:rPr>
          <w:rFonts w:ascii="Cambria" w:hAnsi="Cambria"/>
        </w:rPr>
      </w:pPr>
      <w:r w:rsidRPr="005E217B">
        <w:rPr>
          <w:rFonts w:ascii="Cambria" w:hAnsi="Cambria"/>
        </w:rPr>
        <w:t xml:space="preserve">Per i dipendenti, la tabella si applica al valore </w:t>
      </w:r>
      <w:r w:rsidR="0090287C" w:rsidRPr="005E217B">
        <w:rPr>
          <w:rFonts w:ascii="Cambria" w:hAnsi="Cambria"/>
        </w:rPr>
        <w:t>dei compensi previsti,</w:t>
      </w:r>
      <w:r w:rsidRPr="005E217B">
        <w:rPr>
          <w:rFonts w:ascii="Cambria" w:hAnsi="Cambria"/>
        </w:rPr>
        <w:t xml:space="preserve"> </w:t>
      </w:r>
      <w:r w:rsidR="0090287C" w:rsidRPr="005E217B">
        <w:rPr>
          <w:rFonts w:ascii="Cambria" w:hAnsi="Cambria"/>
        </w:rPr>
        <w:t xml:space="preserve">in base a quanto stabilito </w:t>
      </w:r>
      <w:r w:rsidRPr="005E217B">
        <w:rPr>
          <w:rFonts w:ascii="Cambria" w:hAnsi="Cambria"/>
        </w:rPr>
        <w:t>dal Contratto collettivo decentrato di lavoro.</w:t>
      </w:r>
    </w:p>
    <w:p w:rsidR="005E217B" w:rsidRDefault="005E217B">
      <w:pPr>
        <w:rPr>
          <w:rFonts w:ascii="Cambria" w:hAnsi="Cambria"/>
          <w:b/>
          <w:color w:val="990000"/>
          <w:sz w:val="26"/>
          <w:szCs w:val="26"/>
        </w:rPr>
      </w:pPr>
      <w:bookmarkStart w:id="13" w:name="_Toc411839795"/>
      <w:r>
        <w:rPr>
          <w:rFonts w:ascii="Cambria" w:hAnsi="Cambria"/>
          <w:b/>
          <w:color w:val="990000"/>
          <w:sz w:val="26"/>
          <w:szCs w:val="26"/>
        </w:rPr>
        <w:br w:type="page"/>
      </w:r>
    </w:p>
    <w:p w:rsidR="00F83D78" w:rsidRPr="005E217B" w:rsidRDefault="0090287C" w:rsidP="005E217B">
      <w:pPr>
        <w:pStyle w:val="Titolo1"/>
        <w:numPr>
          <w:ilvl w:val="0"/>
          <w:numId w:val="1"/>
        </w:numPr>
        <w:spacing w:before="0" w:line="240" w:lineRule="auto"/>
        <w:ind w:left="340" w:hanging="340"/>
        <w:rPr>
          <w:rFonts w:ascii="Cambria" w:eastAsiaTheme="minorHAnsi" w:hAnsi="Cambria" w:cstheme="minorBidi"/>
          <w:b/>
          <w:color w:val="990000"/>
          <w:sz w:val="28"/>
          <w:szCs w:val="28"/>
        </w:rPr>
      </w:pPr>
      <w:r w:rsidRPr="005E217B">
        <w:rPr>
          <w:rFonts w:ascii="Cambria" w:eastAsiaTheme="minorHAnsi" w:hAnsi="Cambria" w:cstheme="minorBidi"/>
          <w:b/>
          <w:color w:val="990000"/>
          <w:sz w:val="28"/>
          <w:szCs w:val="28"/>
        </w:rPr>
        <w:t>Le procedure di riesame delle valutazioni</w:t>
      </w:r>
      <w:bookmarkEnd w:id="13"/>
    </w:p>
    <w:p w:rsidR="00CB5A85" w:rsidRPr="005E217B" w:rsidRDefault="00D56C27" w:rsidP="005E217B">
      <w:pPr>
        <w:spacing w:before="120" w:after="0" w:line="240" w:lineRule="auto"/>
        <w:jc w:val="both"/>
        <w:rPr>
          <w:rFonts w:ascii="Cambria" w:hAnsi="Cambria"/>
        </w:rPr>
      </w:pPr>
      <w:r w:rsidRPr="005E217B">
        <w:rPr>
          <w:rFonts w:ascii="Cambria" w:hAnsi="Cambria"/>
        </w:rPr>
        <w:t>I soggetti competenti per la valutazione operano, sia nel corso della gestione che nella fase di concreta espressione del giudizio finale, secondo modalità trasparenti e partecipative</w:t>
      </w:r>
      <w:r w:rsidR="00002F7F" w:rsidRPr="005E217B">
        <w:rPr>
          <w:rFonts w:ascii="Cambria" w:hAnsi="Cambria"/>
        </w:rPr>
        <w:t>.</w:t>
      </w:r>
      <w:r w:rsidRPr="005E217B">
        <w:rPr>
          <w:rFonts w:ascii="Cambria" w:hAnsi="Cambria"/>
        </w:rPr>
        <w:t xml:space="preserve"> Se, nonostante ciò, i soggetti valutati non condividessero gli esiti finali della valutazione, al fine di tentare di prevenire l’insorgenza di contenziosi formali, </w:t>
      </w:r>
      <w:r w:rsidR="00CB5A85" w:rsidRPr="005E217B">
        <w:rPr>
          <w:rFonts w:ascii="Cambria" w:hAnsi="Cambria"/>
        </w:rPr>
        <w:t>si stabilisce la seguente procedura di riesame delle valutazioni:</w:t>
      </w:r>
    </w:p>
    <w:p w:rsidR="00BD1444" w:rsidRPr="005E217B" w:rsidRDefault="001801E7" w:rsidP="005E217B">
      <w:pPr>
        <w:pStyle w:val="Paragrafoelenco"/>
        <w:numPr>
          <w:ilvl w:val="0"/>
          <w:numId w:val="24"/>
        </w:numPr>
        <w:spacing w:before="60" w:after="0" w:line="240" w:lineRule="auto"/>
        <w:ind w:left="284" w:hanging="284"/>
        <w:contextualSpacing w:val="0"/>
        <w:jc w:val="both"/>
        <w:rPr>
          <w:rFonts w:ascii="Cambria" w:hAnsi="Cambria"/>
        </w:rPr>
      </w:pPr>
      <w:r w:rsidRPr="005E217B">
        <w:rPr>
          <w:rFonts w:ascii="Cambria" w:hAnsi="Cambria"/>
        </w:rPr>
        <w:t>i</w:t>
      </w:r>
      <w:r w:rsidR="00CB5A85" w:rsidRPr="005E217B">
        <w:rPr>
          <w:rFonts w:ascii="Cambria" w:hAnsi="Cambria"/>
        </w:rPr>
        <w:t xml:space="preserve">l valutato presenta motivata istanza di riesame entro dieci giorni dal ricevimento della scheda di valutazione. </w:t>
      </w:r>
      <w:r w:rsidR="00BD1444" w:rsidRPr="005E217B">
        <w:rPr>
          <w:rFonts w:ascii="Cambria" w:hAnsi="Cambria"/>
        </w:rPr>
        <w:t>Per i responsabili di servizio, l’istanza è rivolta al Nucleo di valutazione, per i dipendenti</w:t>
      </w:r>
      <w:r w:rsidRPr="005E217B">
        <w:rPr>
          <w:rFonts w:ascii="Cambria" w:hAnsi="Cambria"/>
        </w:rPr>
        <w:t>, al Segretario comunale;</w:t>
      </w:r>
    </w:p>
    <w:p w:rsidR="001801E7" w:rsidRPr="005E217B" w:rsidRDefault="001801E7" w:rsidP="005E217B">
      <w:pPr>
        <w:pStyle w:val="Paragrafoelenco"/>
        <w:numPr>
          <w:ilvl w:val="0"/>
          <w:numId w:val="24"/>
        </w:numPr>
        <w:spacing w:before="60" w:after="0" w:line="240" w:lineRule="auto"/>
        <w:ind w:left="284" w:hanging="284"/>
        <w:contextualSpacing w:val="0"/>
        <w:jc w:val="both"/>
        <w:rPr>
          <w:rFonts w:ascii="Cambria" w:hAnsi="Cambria"/>
        </w:rPr>
      </w:pPr>
      <w:r w:rsidRPr="005E217B">
        <w:rPr>
          <w:rFonts w:ascii="Cambria" w:hAnsi="Cambria"/>
        </w:rPr>
        <w:t>i</w:t>
      </w:r>
      <w:r w:rsidR="00BD1444" w:rsidRPr="005E217B">
        <w:rPr>
          <w:rFonts w:ascii="Cambria" w:hAnsi="Cambria"/>
        </w:rPr>
        <w:t xml:space="preserve"> soggetti competenti, secondo i casi di cui sopra, valutano l’istanza, anche prevedendo</w:t>
      </w:r>
      <w:r w:rsidRPr="005E217B">
        <w:rPr>
          <w:rFonts w:ascii="Cambria" w:hAnsi="Cambria"/>
        </w:rPr>
        <w:t xml:space="preserve"> l</w:t>
      </w:r>
      <w:r w:rsidR="00BD1444" w:rsidRPr="005E217B">
        <w:rPr>
          <w:rFonts w:ascii="Cambria" w:hAnsi="Cambria"/>
        </w:rPr>
        <w:t>’eventuale audizione del</w:t>
      </w:r>
      <w:r w:rsidRPr="005E217B">
        <w:rPr>
          <w:rFonts w:ascii="Cambria" w:hAnsi="Cambria"/>
        </w:rPr>
        <w:t xml:space="preserve"> richiedente</w:t>
      </w:r>
      <w:r w:rsidR="00BD1444" w:rsidRPr="005E217B">
        <w:rPr>
          <w:rFonts w:ascii="Cambria" w:hAnsi="Cambria"/>
        </w:rPr>
        <w:t xml:space="preserve"> e, conseguentemente, assumono la decisione definitiva in ordine alla richiesta di </w:t>
      </w:r>
      <w:r w:rsidRPr="005E217B">
        <w:rPr>
          <w:rFonts w:ascii="Cambria" w:hAnsi="Cambria"/>
        </w:rPr>
        <w:t>ri</w:t>
      </w:r>
      <w:r w:rsidR="00BD1444" w:rsidRPr="005E217B">
        <w:rPr>
          <w:rFonts w:ascii="Cambria" w:hAnsi="Cambria"/>
        </w:rPr>
        <w:t>esame,</w:t>
      </w:r>
      <w:r w:rsidRPr="005E217B">
        <w:rPr>
          <w:rFonts w:ascii="Cambria" w:hAnsi="Cambria"/>
        </w:rPr>
        <w:t xml:space="preserve"> trasmettendola all’interessato.</w:t>
      </w:r>
    </w:p>
    <w:p w:rsidR="00002F7F" w:rsidRPr="005E217B" w:rsidRDefault="001801E7" w:rsidP="005E217B">
      <w:pPr>
        <w:spacing w:before="120" w:after="0" w:line="240" w:lineRule="auto"/>
        <w:jc w:val="both"/>
        <w:rPr>
          <w:rFonts w:ascii="Cambria" w:hAnsi="Cambria"/>
        </w:rPr>
      </w:pPr>
      <w:r w:rsidRPr="005E217B">
        <w:rPr>
          <w:rFonts w:ascii="Cambria" w:hAnsi="Cambria"/>
        </w:rPr>
        <w:t>Tutte le comunicazioni di cui sopra debbono essere gestite con modalità tracciabili, anche impiegando, per ragioni di risparmio, semplicità e speditezza, la posta elettronica ordinaria.</w:t>
      </w:r>
      <w:r w:rsidR="00BD1444" w:rsidRPr="005E217B">
        <w:rPr>
          <w:rFonts w:ascii="Cambria" w:hAnsi="Cambria"/>
        </w:rPr>
        <w:t xml:space="preserve">    </w:t>
      </w:r>
      <w:r w:rsidR="00CB5A85" w:rsidRPr="005E217B">
        <w:rPr>
          <w:rFonts w:ascii="Cambria" w:hAnsi="Cambria"/>
        </w:rPr>
        <w:t xml:space="preserve"> </w:t>
      </w:r>
    </w:p>
    <w:p w:rsidR="00002F7F" w:rsidRPr="005E217B" w:rsidRDefault="00EB19FC" w:rsidP="005E217B">
      <w:pPr>
        <w:pStyle w:val="Titolo1"/>
        <w:spacing w:before="360" w:line="240" w:lineRule="auto"/>
        <w:rPr>
          <w:rFonts w:ascii="Cambria" w:eastAsiaTheme="minorHAnsi" w:hAnsi="Cambria" w:cstheme="minorBidi"/>
          <w:b/>
          <w:i/>
          <w:color w:val="990000"/>
          <w:sz w:val="28"/>
          <w:szCs w:val="28"/>
        </w:rPr>
      </w:pPr>
      <w:bookmarkStart w:id="14" w:name="_Toc411839796"/>
      <w:r w:rsidRPr="005E217B">
        <w:rPr>
          <w:rFonts w:ascii="Cambria" w:eastAsiaTheme="minorHAnsi" w:hAnsi="Cambria" w:cstheme="minorBidi"/>
          <w:b/>
          <w:i/>
          <w:color w:val="990000"/>
          <w:sz w:val="28"/>
          <w:szCs w:val="28"/>
        </w:rPr>
        <w:t>Allegati</w:t>
      </w:r>
      <w:bookmarkEnd w:id="14"/>
    </w:p>
    <w:p w:rsidR="005E217B" w:rsidRPr="005E217B" w:rsidRDefault="005E217B" w:rsidP="005E217B">
      <w:pPr>
        <w:pStyle w:val="Paragrafoelenco"/>
        <w:numPr>
          <w:ilvl w:val="0"/>
          <w:numId w:val="25"/>
        </w:numPr>
        <w:spacing w:before="60" w:after="0" w:line="240" w:lineRule="auto"/>
        <w:ind w:left="284" w:hanging="284"/>
        <w:contextualSpacing w:val="0"/>
        <w:rPr>
          <w:rFonts w:ascii="Cambria" w:hAnsi="Cambria"/>
        </w:rPr>
      </w:pPr>
      <w:r w:rsidRPr="005E217B">
        <w:rPr>
          <w:rFonts w:ascii="Cambria" w:hAnsi="Cambria"/>
        </w:rPr>
        <w:t>Scheda di valutazione per i Responsabili di servizio</w:t>
      </w:r>
    </w:p>
    <w:p w:rsidR="005E217B" w:rsidRPr="005E217B" w:rsidRDefault="005E217B" w:rsidP="005E217B">
      <w:pPr>
        <w:pStyle w:val="Paragrafoelenco"/>
        <w:numPr>
          <w:ilvl w:val="0"/>
          <w:numId w:val="25"/>
        </w:numPr>
        <w:spacing w:before="60" w:after="0" w:line="240" w:lineRule="auto"/>
        <w:ind w:left="284" w:hanging="284"/>
        <w:contextualSpacing w:val="0"/>
        <w:rPr>
          <w:rFonts w:ascii="Cambria" w:hAnsi="Cambria"/>
        </w:rPr>
      </w:pPr>
      <w:r w:rsidRPr="005E217B">
        <w:rPr>
          <w:rFonts w:ascii="Cambria" w:hAnsi="Cambria"/>
        </w:rPr>
        <w:t>Scheda di valutazione per i dipendenti</w:t>
      </w:r>
    </w:p>
    <w:sectPr w:rsidR="005E217B" w:rsidRPr="005E217B" w:rsidSect="004B41E2">
      <w:pgSz w:w="11906" w:h="16838" w:code="9"/>
      <w:pgMar w:top="1134" w:right="1418" w:bottom="1418" w:left="1418" w:header="567" w:footer="624" w:gutter="0"/>
      <w:pgBorders w:offsetFrom="page">
        <w:top w:val="single" w:sz="2" w:space="24" w:color="C00000"/>
        <w:left w:val="single" w:sz="2" w:space="24" w:color="C00000"/>
        <w:bottom w:val="single" w:sz="2" w:space="24" w:color="C00000"/>
        <w:right w:val="single" w:sz="2" w:space="24" w:color="C00000"/>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F0" w:rsidRDefault="005678F0" w:rsidP="005D4FCE">
      <w:pPr>
        <w:spacing w:after="0" w:line="240" w:lineRule="auto"/>
      </w:pPr>
      <w:r>
        <w:separator/>
      </w:r>
    </w:p>
  </w:endnote>
  <w:endnote w:type="continuationSeparator" w:id="0">
    <w:p w:rsidR="005678F0" w:rsidRDefault="005678F0" w:rsidP="005D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E2" w:rsidRDefault="004B41E2" w:rsidP="004B41E2">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F0" w:rsidRDefault="005678F0" w:rsidP="005D4FCE">
      <w:pPr>
        <w:spacing w:after="0" w:line="240" w:lineRule="auto"/>
      </w:pPr>
      <w:r>
        <w:separator/>
      </w:r>
    </w:p>
  </w:footnote>
  <w:footnote w:type="continuationSeparator" w:id="0">
    <w:p w:rsidR="005678F0" w:rsidRDefault="005678F0" w:rsidP="005D4FCE">
      <w:pPr>
        <w:spacing w:after="0" w:line="240" w:lineRule="auto"/>
      </w:pPr>
      <w:r>
        <w:continuationSeparator/>
      </w:r>
    </w:p>
  </w:footnote>
  <w:footnote w:id="1">
    <w:p w:rsidR="00645B02" w:rsidRDefault="00645B02" w:rsidP="00645B02">
      <w:pPr>
        <w:pStyle w:val="Testonotaapidipagina"/>
        <w:jc w:val="both"/>
      </w:pPr>
      <w:r w:rsidRPr="00645B02">
        <w:rPr>
          <w:rStyle w:val="Rimandonotaapidipagina"/>
          <w:rFonts w:ascii="Cambria" w:hAnsi="Cambria"/>
          <w:b/>
        </w:rPr>
        <w:footnoteRef/>
      </w:r>
      <w:r w:rsidRPr="00645B02">
        <w:rPr>
          <w:rStyle w:val="Rimandonotaapidipagina"/>
          <w:rFonts w:ascii="Cambria" w:hAnsi="Cambria"/>
          <w:b/>
        </w:rPr>
        <w:t xml:space="preserve"> </w:t>
      </w:r>
      <w:r w:rsidRPr="00645B02">
        <w:rPr>
          <w:rFonts w:ascii="Cambria" w:hAnsi="Cambria"/>
        </w:rPr>
        <w:t>Per questo punto si rinvia</w:t>
      </w:r>
      <w:r>
        <w:rPr>
          <w:rFonts w:ascii="Cambria" w:hAnsi="Cambria"/>
        </w:rPr>
        <w:t xml:space="preserve"> ai contenuti del d.lgs. n. 118/2011 e </w:t>
      </w:r>
      <w:proofErr w:type="spellStart"/>
      <w:r>
        <w:rPr>
          <w:rFonts w:ascii="Cambria" w:hAnsi="Cambria"/>
        </w:rPr>
        <w:t>s.m</w:t>
      </w:r>
      <w:proofErr w:type="spellEnd"/>
      <w:r>
        <w:rPr>
          <w:rFonts w:ascii="Cambria" w:hAnsi="Cambria"/>
        </w:rPr>
        <w:t>. e, in particolare, all’allegato 4/1 del medesimo decreto.</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665893"/>
      <w:docPartObj>
        <w:docPartGallery w:val="Page Numbers (Margins)"/>
        <w:docPartUnique/>
      </w:docPartObj>
    </w:sdtPr>
    <w:sdtEndPr/>
    <w:sdtContent>
      <w:p w:rsidR="001824FB" w:rsidRPr="004B41E2" w:rsidRDefault="004B41E2" w:rsidP="004B41E2">
        <w:pPr>
          <w:pStyle w:val="Intestazione"/>
        </w:pPr>
        <w:r>
          <w:rPr>
            <w:noProof/>
            <w:lang w:eastAsia="it-IT"/>
          </w:rPr>
          <mc:AlternateContent>
            <mc:Choice Requires="wps">
              <w:drawing>
                <wp:anchor distT="0" distB="0" distL="114300" distR="114300" simplePos="0" relativeHeight="251659264" behindDoc="0" locked="0" layoutInCell="0" allowOverlap="1" wp14:anchorId="70A6EA31" wp14:editId="4E735BA7">
                  <wp:simplePos x="0" y="0"/>
                  <wp:positionH relativeFrom="rightMargin">
                    <wp:posOffset>183515</wp:posOffset>
                  </wp:positionH>
                  <wp:positionV relativeFrom="margin">
                    <wp:posOffset>-327660</wp:posOffset>
                  </wp:positionV>
                  <wp:extent cx="532800" cy="374400"/>
                  <wp:effectExtent l="0" t="0" r="635" b="6985"/>
                  <wp:wrapNone/>
                  <wp:docPr id="543" name="Forma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532800" cy="374400"/>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4B41E2" w:rsidRDefault="004B41E2" w:rsidP="00BA3F88">
                              <w:pPr>
                                <w:pStyle w:val="Pidipagina"/>
                                <w:jc w:val="right"/>
                                <w:rPr>
                                  <w:color w:val="FFFFFF" w:themeColor="background1"/>
                                </w:rPr>
                              </w:pPr>
                              <w:r>
                                <w:fldChar w:fldCharType="begin"/>
                              </w:r>
                              <w:r>
                                <w:instrText>PAGE   \* MERGEFORMAT</w:instrText>
                              </w:r>
                              <w:r>
                                <w:fldChar w:fldCharType="separate"/>
                              </w:r>
                              <w:r w:rsidR="000D7FB3" w:rsidRPr="000D7FB3">
                                <w:rPr>
                                  <w:noProof/>
                                  <w:color w:val="FFFFFF" w:themeColor="background1"/>
                                </w:rPr>
                                <w:t>4</w:t>
                              </w:r>
                              <w:r>
                                <w:rPr>
                                  <w:color w:val="FFFFFF" w:themeColor="background1"/>
                                </w:rPr>
                                <w:fldChar w:fldCharType="end"/>
                              </w:r>
                            </w:p>
                            <w:p w:rsidR="004B41E2" w:rsidRDefault="004B41E2"/>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orma 3" o:spid="_x0000_s1026" type="#_x0000_t13" style="position:absolute;margin-left:14.45pt;margin-top:-25.8pt;width:41.95pt;height:29.5pt;rotation:180;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" o:allowincell="f" adj="13634,5370" fillcolor="#c0504d" stroked="f" strokecolor="#5c83b4">
                  <o:lock v:ext="edit" aspectratio="t"/>
                  <v:textbox inset=",0,,0">
                    <w:txbxContent>
                      <w:p w:rsidR="004B41E2" w:rsidRDefault="004B41E2" w:rsidP="00BA3F88">
                        <w:pPr>
                          <w:pStyle w:val="Pidipagina"/>
                          <w:jc w:val="right"/>
                          <w:rPr>
                            <w:color w:val="FFFFFF" w:themeColor="background1"/>
                          </w:rPr>
                        </w:pPr>
                        <w:r>
                          <w:fldChar w:fldCharType="begin"/>
                        </w:r>
                        <w:r>
                          <w:instrText>PAGE   \* MERGEFORMAT</w:instrText>
                        </w:r>
                        <w:r>
                          <w:fldChar w:fldCharType="separate"/>
                        </w:r>
                        <w:r w:rsidR="000D7FB3" w:rsidRPr="000D7FB3">
                          <w:rPr>
                            <w:noProof/>
                            <w:color w:val="FFFFFF" w:themeColor="background1"/>
                          </w:rPr>
                          <w:t>4</w:t>
                        </w:r>
                        <w:r>
                          <w:rPr>
                            <w:color w:val="FFFFFF" w:themeColor="background1"/>
                          </w:rPr>
                          <w:fldChar w:fldCharType="end"/>
                        </w:r>
                      </w:p>
                      <w:p w:rsidR="004B41E2" w:rsidRDefault="004B41E2"/>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516"/>
    <w:multiLevelType w:val="hybridMultilevel"/>
    <w:tmpl w:val="30F0E3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F72DBF"/>
    <w:multiLevelType w:val="hybridMultilevel"/>
    <w:tmpl w:val="4852C9A0"/>
    <w:lvl w:ilvl="0" w:tplc="05EC8444">
      <w:start w:val="1"/>
      <w:numFmt w:val="bullet"/>
      <w:lvlText w:val=""/>
      <w:lvlJc w:val="left"/>
      <w:pPr>
        <w:ind w:left="1088" w:hanging="360"/>
      </w:pPr>
      <w:rPr>
        <w:rFonts w:ascii="Symbol" w:hAnsi="Symbol" w:hint="default"/>
      </w:rPr>
    </w:lvl>
    <w:lvl w:ilvl="1" w:tplc="04100003" w:tentative="1">
      <w:start w:val="1"/>
      <w:numFmt w:val="bullet"/>
      <w:lvlText w:val="o"/>
      <w:lvlJc w:val="left"/>
      <w:pPr>
        <w:ind w:left="1808" w:hanging="360"/>
      </w:pPr>
      <w:rPr>
        <w:rFonts w:ascii="Courier New" w:hAnsi="Courier New" w:cs="Courier New" w:hint="default"/>
      </w:rPr>
    </w:lvl>
    <w:lvl w:ilvl="2" w:tplc="04100005" w:tentative="1">
      <w:start w:val="1"/>
      <w:numFmt w:val="bullet"/>
      <w:lvlText w:val=""/>
      <w:lvlJc w:val="left"/>
      <w:pPr>
        <w:ind w:left="2528" w:hanging="360"/>
      </w:pPr>
      <w:rPr>
        <w:rFonts w:ascii="Wingdings" w:hAnsi="Wingdings" w:hint="default"/>
      </w:rPr>
    </w:lvl>
    <w:lvl w:ilvl="3" w:tplc="04100001" w:tentative="1">
      <w:start w:val="1"/>
      <w:numFmt w:val="bullet"/>
      <w:lvlText w:val=""/>
      <w:lvlJc w:val="left"/>
      <w:pPr>
        <w:ind w:left="3248" w:hanging="360"/>
      </w:pPr>
      <w:rPr>
        <w:rFonts w:ascii="Symbol" w:hAnsi="Symbol" w:hint="default"/>
      </w:rPr>
    </w:lvl>
    <w:lvl w:ilvl="4" w:tplc="04100003" w:tentative="1">
      <w:start w:val="1"/>
      <w:numFmt w:val="bullet"/>
      <w:lvlText w:val="o"/>
      <w:lvlJc w:val="left"/>
      <w:pPr>
        <w:ind w:left="3968" w:hanging="360"/>
      </w:pPr>
      <w:rPr>
        <w:rFonts w:ascii="Courier New" w:hAnsi="Courier New" w:cs="Courier New" w:hint="default"/>
      </w:rPr>
    </w:lvl>
    <w:lvl w:ilvl="5" w:tplc="04100005" w:tentative="1">
      <w:start w:val="1"/>
      <w:numFmt w:val="bullet"/>
      <w:lvlText w:val=""/>
      <w:lvlJc w:val="left"/>
      <w:pPr>
        <w:ind w:left="4688" w:hanging="360"/>
      </w:pPr>
      <w:rPr>
        <w:rFonts w:ascii="Wingdings" w:hAnsi="Wingdings" w:hint="default"/>
      </w:rPr>
    </w:lvl>
    <w:lvl w:ilvl="6" w:tplc="04100001" w:tentative="1">
      <w:start w:val="1"/>
      <w:numFmt w:val="bullet"/>
      <w:lvlText w:val=""/>
      <w:lvlJc w:val="left"/>
      <w:pPr>
        <w:ind w:left="5408" w:hanging="360"/>
      </w:pPr>
      <w:rPr>
        <w:rFonts w:ascii="Symbol" w:hAnsi="Symbol" w:hint="default"/>
      </w:rPr>
    </w:lvl>
    <w:lvl w:ilvl="7" w:tplc="04100003" w:tentative="1">
      <w:start w:val="1"/>
      <w:numFmt w:val="bullet"/>
      <w:lvlText w:val="o"/>
      <w:lvlJc w:val="left"/>
      <w:pPr>
        <w:ind w:left="6128" w:hanging="360"/>
      </w:pPr>
      <w:rPr>
        <w:rFonts w:ascii="Courier New" w:hAnsi="Courier New" w:cs="Courier New" w:hint="default"/>
      </w:rPr>
    </w:lvl>
    <w:lvl w:ilvl="8" w:tplc="04100005" w:tentative="1">
      <w:start w:val="1"/>
      <w:numFmt w:val="bullet"/>
      <w:lvlText w:val=""/>
      <w:lvlJc w:val="left"/>
      <w:pPr>
        <w:ind w:left="6848" w:hanging="360"/>
      </w:pPr>
      <w:rPr>
        <w:rFonts w:ascii="Wingdings" w:hAnsi="Wingdings" w:hint="default"/>
      </w:rPr>
    </w:lvl>
  </w:abstractNum>
  <w:abstractNum w:abstractNumId="2">
    <w:nsid w:val="0FFF5657"/>
    <w:multiLevelType w:val="hybridMultilevel"/>
    <w:tmpl w:val="2C5A06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0E1053"/>
    <w:multiLevelType w:val="hybridMultilevel"/>
    <w:tmpl w:val="EE5A756C"/>
    <w:lvl w:ilvl="0" w:tplc="05EC84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45265C"/>
    <w:multiLevelType w:val="hybridMultilevel"/>
    <w:tmpl w:val="B22604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6463FA5"/>
    <w:multiLevelType w:val="hybridMultilevel"/>
    <w:tmpl w:val="B4BE751E"/>
    <w:lvl w:ilvl="0" w:tplc="05EC84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BA3BD5"/>
    <w:multiLevelType w:val="multilevel"/>
    <w:tmpl w:val="6E3EC84C"/>
    <w:lvl w:ilvl="0">
      <w:start w:val="1"/>
      <w:numFmt w:val="decimal"/>
      <w:lvlText w:val="%1."/>
      <w:lvlJc w:val="left"/>
      <w:pPr>
        <w:ind w:left="502"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AD16DB8"/>
    <w:multiLevelType w:val="hybridMultilevel"/>
    <w:tmpl w:val="12E2E8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A418F4"/>
    <w:multiLevelType w:val="hybridMultilevel"/>
    <w:tmpl w:val="007E3D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FDC6E12"/>
    <w:multiLevelType w:val="hybridMultilevel"/>
    <w:tmpl w:val="CFFA4E0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05E7BD7"/>
    <w:multiLevelType w:val="hybridMultilevel"/>
    <w:tmpl w:val="8320E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9625719"/>
    <w:multiLevelType w:val="hybridMultilevel"/>
    <w:tmpl w:val="4FE21BAE"/>
    <w:lvl w:ilvl="0" w:tplc="05EC84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C433B3D"/>
    <w:multiLevelType w:val="multilevel"/>
    <w:tmpl w:val="3A540DAE"/>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3127DDA"/>
    <w:multiLevelType w:val="multilevel"/>
    <w:tmpl w:val="F008F140"/>
    <w:lvl w:ilvl="0">
      <w:start w:val="2"/>
      <w:numFmt w:val="decimal"/>
      <w:lvlText w:val="%1"/>
      <w:lvlJc w:val="left"/>
      <w:pPr>
        <w:ind w:left="405" w:hanging="405"/>
      </w:pPr>
      <w:rPr>
        <w:rFonts w:asciiTheme="majorHAnsi" w:hAnsiTheme="majorHAnsi" w:hint="default"/>
        <w:b w:val="0"/>
        <w:color w:val="2E74B5" w:themeColor="accent1" w:themeShade="BF"/>
        <w:sz w:val="32"/>
      </w:rPr>
    </w:lvl>
    <w:lvl w:ilvl="1">
      <w:start w:val="1"/>
      <w:numFmt w:val="decimal"/>
      <w:lvlText w:val="%1.%2"/>
      <w:lvlJc w:val="left"/>
      <w:pPr>
        <w:ind w:left="405" w:hanging="405"/>
      </w:pPr>
      <w:rPr>
        <w:rFonts w:asciiTheme="majorHAnsi" w:hAnsiTheme="majorHAnsi" w:hint="default"/>
        <w:b w:val="0"/>
        <w:color w:val="2E74B5" w:themeColor="accent1" w:themeShade="BF"/>
        <w:sz w:val="32"/>
      </w:rPr>
    </w:lvl>
    <w:lvl w:ilvl="2">
      <w:start w:val="1"/>
      <w:numFmt w:val="decimal"/>
      <w:lvlText w:val="%1.%2.%3"/>
      <w:lvlJc w:val="left"/>
      <w:pPr>
        <w:ind w:left="720" w:hanging="720"/>
      </w:pPr>
      <w:rPr>
        <w:rFonts w:asciiTheme="majorHAnsi" w:hAnsiTheme="majorHAnsi" w:hint="default"/>
        <w:b w:val="0"/>
        <w:color w:val="2E74B5" w:themeColor="accent1" w:themeShade="BF"/>
        <w:sz w:val="32"/>
      </w:rPr>
    </w:lvl>
    <w:lvl w:ilvl="3">
      <w:start w:val="1"/>
      <w:numFmt w:val="decimal"/>
      <w:lvlText w:val="%1.%2.%3.%4"/>
      <w:lvlJc w:val="left"/>
      <w:pPr>
        <w:ind w:left="1080" w:hanging="1080"/>
      </w:pPr>
      <w:rPr>
        <w:rFonts w:asciiTheme="majorHAnsi" w:hAnsiTheme="majorHAnsi" w:hint="default"/>
        <w:b w:val="0"/>
        <w:color w:val="2E74B5" w:themeColor="accent1" w:themeShade="BF"/>
        <w:sz w:val="32"/>
      </w:rPr>
    </w:lvl>
    <w:lvl w:ilvl="4">
      <w:start w:val="1"/>
      <w:numFmt w:val="decimal"/>
      <w:lvlText w:val="%1.%2.%3.%4.%5"/>
      <w:lvlJc w:val="left"/>
      <w:pPr>
        <w:ind w:left="1080" w:hanging="1080"/>
      </w:pPr>
      <w:rPr>
        <w:rFonts w:asciiTheme="majorHAnsi" w:hAnsiTheme="majorHAnsi" w:hint="default"/>
        <w:b w:val="0"/>
        <w:color w:val="2E74B5" w:themeColor="accent1" w:themeShade="BF"/>
        <w:sz w:val="32"/>
      </w:rPr>
    </w:lvl>
    <w:lvl w:ilvl="5">
      <w:start w:val="1"/>
      <w:numFmt w:val="decimal"/>
      <w:lvlText w:val="%1.%2.%3.%4.%5.%6"/>
      <w:lvlJc w:val="left"/>
      <w:pPr>
        <w:ind w:left="1440" w:hanging="1440"/>
      </w:pPr>
      <w:rPr>
        <w:rFonts w:asciiTheme="majorHAnsi" w:hAnsiTheme="majorHAnsi" w:hint="default"/>
        <w:b w:val="0"/>
        <w:color w:val="2E74B5" w:themeColor="accent1" w:themeShade="BF"/>
        <w:sz w:val="32"/>
      </w:rPr>
    </w:lvl>
    <w:lvl w:ilvl="6">
      <w:start w:val="1"/>
      <w:numFmt w:val="decimal"/>
      <w:lvlText w:val="%1.%2.%3.%4.%5.%6.%7"/>
      <w:lvlJc w:val="left"/>
      <w:pPr>
        <w:ind w:left="1440" w:hanging="1440"/>
      </w:pPr>
      <w:rPr>
        <w:rFonts w:asciiTheme="majorHAnsi" w:hAnsiTheme="majorHAnsi" w:hint="default"/>
        <w:b w:val="0"/>
        <w:color w:val="2E74B5" w:themeColor="accent1" w:themeShade="BF"/>
        <w:sz w:val="32"/>
      </w:rPr>
    </w:lvl>
    <w:lvl w:ilvl="7">
      <w:start w:val="1"/>
      <w:numFmt w:val="decimal"/>
      <w:lvlText w:val="%1.%2.%3.%4.%5.%6.%7.%8"/>
      <w:lvlJc w:val="left"/>
      <w:pPr>
        <w:ind w:left="1800" w:hanging="1800"/>
      </w:pPr>
      <w:rPr>
        <w:rFonts w:asciiTheme="majorHAnsi" w:hAnsiTheme="majorHAnsi" w:hint="default"/>
        <w:b w:val="0"/>
        <w:color w:val="2E74B5" w:themeColor="accent1" w:themeShade="BF"/>
        <w:sz w:val="32"/>
      </w:rPr>
    </w:lvl>
    <w:lvl w:ilvl="8">
      <w:start w:val="1"/>
      <w:numFmt w:val="decimal"/>
      <w:lvlText w:val="%1.%2.%3.%4.%5.%6.%7.%8.%9"/>
      <w:lvlJc w:val="left"/>
      <w:pPr>
        <w:ind w:left="1800" w:hanging="1800"/>
      </w:pPr>
      <w:rPr>
        <w:rFonts w:asciiTheme="majorHAnsi" w:hAnsiTheme="majorHAnsi" w:hint="default"/>
        <w:b w:val="0"/>
        <w:color w:val="2E74B5" w:themeColor="accent1" w:themeShade="BF"/>
        <w:sz w:val="32"/>
      </w:rPr>
    </w:lvl>
  </w:abstractNum>
  <w:abstractNum w:abstractNumId="14">
    <w:nsid w:val="3D6223C6"/>
    <w:multiLevelType w:val="hybridMultilevel"/>
    <w:tmpl w:val="A74ECD7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04A16B6"/>
    <w:multiLevelType w:val="multilevel"/>
    <w:tmpl w:val="D8060A5A"/>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42A748A1"/>
    <w:multiLevelType w:val="multilevel"/>
    <w:tmpl w:val="6E3EC84C"/>
    <w:lvl w:ilvl="0">
      <w:start w:val="1"/>
      <w:numFmt w:val="decimal"/>
      <w:lvlText w:val="%1."/>
      <w:lvlJc w:val="left"/>
      <w:pPr>
        <w:ind w:left="502"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41C1DAF"/>
    <w:multiLevelType w:val="hybridMultilevel"/>
    <w:tmpl w:val="156658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5E64B4A"/>
    <w:multiLevelType w:val="multilevel"/>
    <w:tmpl w:val="6E3EC84C"/>
    <w:lvl w:ilvl="0">
      <w:start w:val="1"/>
      <w:numFmt w:val="decimal"/>
      <w:lvlText w:val="%1."/>
      <w:lvlJc w:val="left"/>
      <w:pPr>
        <w:ind w:left="502"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AFA16A3"/>
    <w:multiLevelType w:val="hybridMultilevel"/>
    <w:tmpl w:val="29225C6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4C8D7FCC"/>
    <w:multiLevelType w:val="hybridMultilevel"/>
    <w:tmpl w:val="340054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6CF10F0"/>
    <w:multiLevelType w:val="hybridMultilevel"/>
    <w:tmpl w:val="13B0CC18"/>
    <w:lvl w:ilvl="0" w:tplc="05EC84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B8529EB"/>
    <w:multiLevelType w:val="multilevel"/>
    <w:tmpl w:val="C9403D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4AE1ADF"/>
    <w:multiLevelType w:val="hybridMultilevel"/>
    <w:tmpl w:val="D31433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74E66CE6"/>
    <w:multiLevelType w:val="hybridMultilevel"/>
    <w:tmpl w:val="EFFC4A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23"/>
  </w:num>
  <w:num w:numId="4">
    <w:abstractNumId w:val="7"/>
  </w:num>
  <w:num w:numId="5">
    <w:abstractNumId w:val="2"/>
  </w:num>
  <w:num w:numId="6">
    <w:abstractNumId w:val="21"/>
  </w:num>
  <w:num w:numId="7">
    <w:abstractNumId w:val="11"/>
  </w:num>
  <w:num w:numId="8">
    <w:abstractNumId w:val="15"/>
  </w:num>
  <w:num w:numId="9">
    <w:abstractNumId w:val="5"/>
  </w:num>
  <w:num w:numId="10">
    <w:abstractNumId w:val="19"/>
  </w:num>
  <w:num w:numId="11">
    <w:abstractNumId w:val="4"/>
  </w:num>
  <w:num w:numId="12">
    <w:abstractNumId w:val="14"/>
  </w:num>
  <w:num w:numId="13">
    <w:abstractNumId w:val="3"/>
  </w:num>
  <w:num w:numId="14">
    <w:abstractNumId w:val="13"/>
  </w:num>
  <w:num w:numId="15">
    <w:abstractNumId w:val="22"/>
  </w:num>
  <w:num w:numId="16">
    <w:abstractNumId w:val="12"/>
  </w:num>
  <w:num w:numId="17">
    <w:abstractNumId w:val="16"/>
  </w:num>
  <w:num w:numId="18">
    <w:abstractNumId w:val="18"/>
  </w:num>
  <w:num w:numId="19">
    <w:abstractNumId w:val="1"/>
  </w:num>
  <w:num w:numId="20">
    <w:abstractNumId w:val="9"/>
  </w:num>
  <w:num w:numId="21">
    <w:abstractNumId w:val="24"/>
  </w:num>
  <w:num w:numId="22">
    <w:abstractNumId w:val="17"/>
  </w:num>
  <w:num w:numId="23">
    <w:abstractNumId w:val="8"/>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B2"/>
    <w:rsid w:val="0000111D"/>
    <w:rsid w:val="00002F7F"/>
    <w:rsid w:val="00003DCC"/>
    <w:rsid w:val="000053C2"/>
    <w:rsid w:val="00007424"/>
    <w:rsid w:val="00007E41"/>
    <w:rsid w:val="00013539"/>
    <w:rsid w:val="000141E5"/>
    <w:rsid w:val="000149A6"/>
    <w:rsid w:val="0003015C"/>
    <w:rsid w:val="000310F8"/>
    <w:rsid w:val="00046EEA"/>
    <w:rsid w:val="0005465C"/>
    <w:rsid w:val="00057542"/>
    <w:rsid w:val="00070E2A"/>
    <w:rsid w:val="0007504F"/>
    <w:rsid w:val="00080DA2"/>
    <w:rsid w:val="00086740"/>
    <w:rsid w:val="000A0F03"/>
    <w:rsid w:val="000A7D70"/>
    <w:rsid w:val="000B127C"/>
    <w:rsid w:val="000D71E6"/>
    <w:rsid w:val="000D7996"/>
    <w:rsid w:val="000D7FB3"/>
    <w:rsid w:val="000F2543"/>
    <w:rsid w:val="000F3953"/>
    <w:rsid w:val="000F7701"/>
    <w:rsid w:val="00101235"/>
    <w:rsid w:val="001105ED"/>
    <w:rsid w:val="00111244"/>
    <w:rsid w:val="00111B26"/>
    <w:rsid w:val="00115FDC"/>
    <w:rsid w:val="00120085"/>
    <w:rsid w:val="001233AB"/>
    <w:rsid w:val="001238B7"/>
    <w:rsid w:val="0013279B"/>
    <w:rsid w:val="001332A7"/>
    <w:rsid w:val="00140041"/>
    <w:rsid w:val="00142A8C"/>
    <w:rsid w:val="00144E72"/>
    <w:rsid w:val="001627F2"/>
    <w:rsid w:val="001629D0"/>
    <w:rsid w:val="001662E9"/>
    <w:rsid w:val="001801E7"/>
    <w:rsid w:val="001824FB"/>
    <w:rsid w:val="00184336"/>
    <w:rsid w:val="00191450"/>
    <w:rsid w:val="00195A01"/>
    <w:rsid w:val="001A08EA"/>
    <w:rsid w:val="001B3BD1"/>
    <w:rsid w:val="001E65F6"/>
    <w:rsid w:val="001F0FA8"/>
    <w:rsid w:val="00200C83"/>
    <w:rsid w:val="00202175"/>
    <w:rsid w:val="002048D9"/>
    <w:rsid w:val="002074A1"/>
    <w:rsid w:val="00212864"/>
    <w:rsid w:val="00222C8E"/>
    <w:rsid w:val="00236782"/>
    <w:rsid w:val="00254319"/>
    <w:rsid w:val="00256C4F"/>
    <w:rsid w:val="00263F05"/>
    <w:rsid w:val="00267F4E"/>
    <w:rsid w:val="00273A0C"/>
    <w:rsid w:val="00284AEF"/>
    <w:rsid w:val="002869B3"/>
    <w:rsid w:val="002951C6"/>
    <w:rsid w:val="002A301F"/>
    <w:rsid w:val="002A32B9"/>
    <w:rsid w:val="002A605F"/>
    <w:rsid w:val="002B291A"/>
    <w:rsid w:val="002B3586"/>
    <w:rsid w:val="002C1827"/>
    <w:rsid w:val="002C1C8D"/>
    <w:rsid w:val="002C277F"/>
    <w:rsid w:val="002C6291"/>
    <w:rsid w:val="002E3D54"/>
    <w:rsid w:val="002E568C"/>
    <w:rsid w:val="002F5890"/>
    <w:rsid w:val="003009C9"/>
    <w:rsid w:val="003055EF"/>
    <w:rsid w:val="003264B0"/>
    <w:rsid w:val="003277CE"/>
    <w:rsid w:val="003308CA"/>
    <w:rsid w:val="003320A6"/>
    <w:rsid w:val="0034682A"/>
    <w:rsid w:val="003637B6"/>
    <w:rsid w:val="003665DE"/>
    <w:rsid w:val="0036776B"/>
    <w:rsid w:val="00370772"/>
    <w:rsid w:val="0037195D"/>
    <w:rsid w:val="00373458"/>
    <w:rsid w:val="00382447"/>
    <w:rsid w:val="00384B42"/>
    <w:rsid w:val="00397407"/>
    <w:rsid w:val="003A1304"/>
    <w:rsid w:val="003A3D97"/>
    <w:rsid w:val="003A7120"/>
    <w:rsid w:val="003B43BC"/>
    <w:rsid w:val="003C1576"/>
    <w:rsid w:val="003C4F70"/>
    <w:rsid w:val="003D0F10"/>
    <w:rsid w:val="003D5E87"/>
    <w:rsid w:val="00402534"/>
    <w:rsid w:val="00406549"/>
    <w:rsid w:val="00406CD2"/>
    <w:rsid w:val="00420E9D"/>
    <w:rsid w:val="00421A59"/>
    <w:rsid w:val="00435B6D"/>
    <w:rsid w:val="004575F5"/>
    <w:rsid w:val="004577D7"/>
    <w:rsid w:val="00461381"/>
    <w:rsid w:val="00471409"/>
    <w:rsid w:val="00495A53"/>
    <w:rsid w:val="004A489B"/>
    <w:rsid w:val="004B41E2"/>
    <w:rsid w:val="004B5BB2"/>
    <w:rsid w:val="004C13CA"/>
    <w:rsid w:val="004C2B38"/>
    <w:rsid w:val="004C70DB"/>
    <w:rsid w:val="004D30F2"/>
    <w:rsid w:val="004E04BE"/>
    <w:rsid w:val="004E0B15"/>
    <w:rsid w:val="004E3B06"/>
    <w:rsid w:val="004E5723"/>
    <w:rsid w:val="004E5D37"/>
    <w:rsid w:val="004E72FC"/>
    <w:rsid w:val="004F4262"/>
    <w:rsid w:val="0050043C"/>
    <w:rsid w:val="0050100B"/>
    <w:rsid w:val="00503019"/>
    <w:rsid w:val="00505BA1"/>
    <w:rsid w:val="0051064D"/>
    <w:rsid w:val="005159B9"/>
    <w:rsid w:val="00517F11"/>
    <w:rsid w:val="0052703D"/>
    <w:rsid w:val="005365DF"/>
    <w:rsid w:val="00541543"/>
    <w:rsid w:val="00542F62"/>
    <w:rsid w:val="005460B9"/>
    <w:rsid w:val="00551BC2"/>
    <w:rsid w:val="005574BB"/>
    <w:rsid w:val="0056016B"/>
    <w:rsid w:val="00561C27"/>
    <w:rsid w:val="00566A29"/>
    <w:rsid w:val="005678F0"/>
    <w:rsid w:val="00572A77"/>
    <w:rsid w:val="005956C5"/>
    <w:rsid w:val="005A0487"/>
    <w:rsid w:val="005A07B9"/>
    <w:rsid w:val="005A0AE2"/>
    <w:rsid w:val="005A3149"/>
    <w:rsid w:val="005A3504"/>
    <w:rsid w:val="005D077C"/>
    <w:rsid w:val="005D1333"/>
    <w:rsid w:val="005D4FCE"/>
    <w:rsid w:val="005E217B"/>
    <w:rsid w:val="005E5D4A"/>
    <w:rsid w:val="005E7FDA"/>
    <w:rsid w:val="005F1833"/>
    <w:rsid w:val="005F22A0"/>
    <w:rsid w:val="005F5CEC"/>
    <w:rsid w:val="006007D7"/>
    <w:rsid w:val="00601FEA"/>
    <w:rsid w:val="006027B7"/>
    <w:rsid w:val="00606AFA"/>
    <w:rsid w:val="0061366A"/>
    <w:rsid w:val="006148CD"/>
    <w:rsid w:val="006166CC"/>
    <w:rsid w:val="006277D5"/>
    <w:rsid w:val="006303DC"/>
    <w:rsid w:val="00631B5A"/>
    <w:rsid w:val="00633655"/>
    <w:rsid w:val="00645B02"/>
    <w:rsid w:val="00654AFD"/>
    <w:rsid w:val="00654F8C"/>
    <w:rsid w:val="00656105"/>
    <w:rsid w:val="006720C4"/>
    <w:rsid w:val="006760CE"/>
    <w:rsid w:val="00677999"/>
    <w:rsid w:val="00681B11"/>
    <w:rsid w:val="00687606"/>
    <w:rsid w:val="006A2827"/>
    <w:rsid w:val="006A4F24"/>
    <w:rsid w:val="006A7F45"/>
    <w:rsid w:val="006B0615"/>
    <w:rsid w:val="006C18F9"/>
    <w:rsid w:val="006D07D4"/>
    <w:rsid w:val="006D0870"/>
    <w:rsid w:val="006D2F69"/>
    <w:rsid w:val="006E1E25"/>
    <w:rsid w:val="006E1FE2"/>
    <w:rsid w:val="006E2918"/>
    <w:rsid w:val="006E7372"/>
    <w:rsid w:val="00716CE2"/>
    <w:rsid w:val="00734076"/>
    <w:rsid w:val="007371C1"/>
    <w:rsid w:val="00753E18"/>
    <w:rsid w:val="00755F94"/>
    <w:rsid w:val="007763B7"/>
    <w:rsid w:val="007777AC"/>
    <w:rsid w:val="00784743"/>
    <w:rsid w:val="0078754E"/>
    <w:rsid w:val="007A4F87"/>
    <w:rsid w:val="007C0372"/>
    <w:rsid w:val="007D0FE9"/>
    <w:rsid w:val="007D3C1E"/>
    <w:rsid w:val="007E092F"/>
    <w:rsid w:val="007E344B"/>
    <w:rsid w:val="007E6C57"/>
    <w:rsid w:val="007F3FB4"/>
    <w:rsid w:val="007F723A"/>
    <w:rsid w:val="008065D7"/>
    <w:rsid w:val="00806B69"/>
    <w:rsid w:val="00827136"/>
    <w:rsid w:val="00827DE7"/>
    <w:rsid w:val="00844DAC"/>
    <w:rsid w:val="00854E5B"/>
    <w:rsid w:val="008551A5"/>
    <w:rsid w:val="0087593E"/>
    <w:rsid w:val="008B7DC0"/>
    <w:rsid w:val="008C1D97"/>
    <w:rsid w:val="008C46B4"/>
    <w:rsid w:val="008C7F78"/>
    <w:rsid w:val="008D05F4"/>
    <w:rsid w:val="008E001E"/>
    <w:rsid w:val="008E74EA"/>
    <w:rsid w:val="008F578B"/>
    <w:rsid w:val="009022A9"/>
    <w:rsid w:val="0090287C"/>
    <w:rsid w:val="00906C81"/>
    <w:rsid w:val="00913D91"/>
    <w:rsid w:val="00916C32"/>
    <w:rsid w:val="00921AC4"/>
    <w:rsid w:val="00923AF6"/>
    <w:rsid w:val="00926971"/>
    <w:rsid w:val="00932E6F"/>
    <w:rsid w:val="0097295C"/>
    <w:rsid w:val="0097490C"/>
    <w:rsid w:val="009A23F1"/>
    <w:rsid w:val="009C20A2"/>
    <w:rsid w:val="009C489F"/>
    <w:rsid w:val="009C5852"/>
    <w:rsid w:val="009D4BD5"/>
    <w:rsid w:val="009E5EEC"/>
    <w:rsid w:val="009E5F63"/>
    <w:rsid w:val="009E66E2"/>
    <w:rsid w:val="009E671E"/>
    <w:rsid w:val="009F6330"/>
    <w:rsid w:val="009F79E1"/>
    <w:rsid w:val="00A05537"/>
    <w:rsid w:val="00A11BDE"/>
    <w:rsid w:val="00A135FB"/>
    <w:rsid w:val="00A24D16"/>
    <w:rsid w:val="00A42A12"/>
    <w:rsid w:val="00A52BD6"/>
    <w:rsid w:val="00A52C4F"/>
    <w:rsid w:val="00A62E7B"/>
    <w:rsid w:val="00A660EA"/>
    <w:rsid w:val="00A6654B"/>
    <w:rsid w:val="00A75794"/>
    <w:rsid w:val="00A84F8B"/>
    <w:rsid w:val="00A94001"/>
    <w:rsid w:val="00A97B57"/>
    <w:rsid w:val="00AB711F"/>
    <w:rsid w:val="00AD1D60"/>
    <w:rsid w:val="00AD5963"/>
    <w:rsid w:val="00AE0CBF"/>
    <w:rsid w:val="00AF0A58"/>
    <w:rsid w:val="00AF4430"/>
    <w:rsid w:val="00B00D22"/>
    <w:rsid w:val="00B05CC3"/>
    <w:rsid w:val="00B1594E"/>
    <w:rsid w:val="00B27F8F"/>
    <w:rsid w:val="00B36C50"/>
    <w:rsid w:val="00B36C54"/>
    <w:rsid w:val="00B406C1"/>
    <w:rsid w:val="00B42333"/>
    <w:rsid w:val="00B53F48"/>
    <w:rsid w:val="00B63705"/>
    <w:rsid w:val="00B90A44"/>
    <w:rsid w:val="00B91215"/>
    <w:rsid w:val="00B971E6"/>
    <w:rsid w:val="00BA1877"/>
    <w:rsid w:val="00BA3F88"/>
    <w:rsid w:val="00BB491B"/>
    <w:rsid w:val="00BB62FB"/>
    <w:rsid w:val="00BD1444"/>
    <w:rsid w:val="00BD5BB4"/>
    <w:rsid w:val="00BD78F9"/>
    <w:rsid w:val="00BE17E4"/>
    <w:rsid w:val="00BE743F"/>
    <w:rsid w:val="00BF0910"/>
    <w:rsid w:val="00BF29A0"/>
    <w:rsid w:val="00BF2FF1"/>
    <w:rsid w:val="00BF5194"/>
    <w:rsid w:val="00BF5350"/>
    <w:rsid w:val="00C1075B"/>
    <w:rsid w:val="00C27002"/>
    <w:rsid w:val="00C31282"/>
    <w:rsid w:val="00C32770"/>
    <w:rsid w:val="00C33663"/>
    <w:rsid w:val="00C36723"/>
    <w:rsid w:val="00C3746F"/>
    <w:rsid w:val="00C43466"/>
    <w:rsid w:val="00C4726E"/>
    <w:rsid w:val="00C53A3A"/>
    <w:rsid w:val="00C647EE"/>
    <w:rsid w:val="00C806A4"/>
    <w:rsid w:val="00C82ED0"/>
    <w:rsid w:val="00C836B3"/>
    <w:rsid w:val="00C945AE"/>
    <w:rsid w:val="00CA5391"/>
    <w:rsid w:val="00CB1139"/>
    <w:rsid w:val="00CB25B2"/>
    <w:rsid w:val="00CB2CE9"/>
    <w:rsid w:val="00CB3F09"/>
    <w:rsid w:val="00CB5A85"/>
    <w:rsid w:val="00CC2FAA"/>
    <w:rsid w:val="00CE33E9"/>
    <w:rsid w:val="00CE7050"/>
    <w:rsid w:val="00CF3E2B"/>
    <w:rsid w:val="00CF4C40"/>
    <w:rsid w:val="00D07E79"/>
    <w:rsid w:val="00D136FB"/>
    <w:rsid w:val="00D13B8B"/>
    <w:rsid w:val="00D1562F"/>
    <w:rsid w:val="00D351C8"/>
    <w:rsid w:val="00D56C27"/>
    <w:rsid w:val="00D6531B"/>
    <w:rsid w:val="00D71AEF"/>
    <w:rsid w:val="00D75D5A"/>
    <w:rsid w:val="00D76F40"/>
    <w:rsid w:val="00D80524"/>
    <w:rsid w:val="00D82236"/>
    <w:rsid w:val="00D90BAA"/>
    <w:rsid w:val="00D922CB"/>
    <w:rsid w:val="00DA2BF9"/>
    <w:rsid w:val="00DA7EE0"/>
    <w:rsid w:val="00DB07B0"/>
    <w:rsid w:val="00DB14AB"/>
    <w:rsid w:val="00DC1919"/>
    <w:rsid w:val="00DC4DBF"/>
    <w:rsid w:val="00DF005B"/>
    <w:rsid w:val="00DF232A"/>
    <w:rsid w:val="00DF34E5"/>
    <w:rsid w:val="00DF4CED"/>
    <w:rsid w:val="00E004D8"/>
    <w:rsid w:val="00E127F1"/>
    <w:rsid w:val="00E167FB"/>
    <w:rsid w:val="00E2040F"/>
    <w:rsid w:val="00E20921"/>
    <w:rsid w:val="00E21C08"/>
    <w:rsid w:val="00E22130"/>
    <w:rsid w:val="00E3315F"/>
    <w:rsid w:val="00E35528"/>
    <w:rsid w:val="00E412D1"/>
    <w:rsid w:val="00E42940"/>
    <w:rsid w:val="00E5455E"/>
    <w:rsid w:val="00E5541D"/>
    <w:rsid w:val="00E60A1F"/>
    <w:rsid w:val="00E62EC6"/>
    <w:rsid w:val="00E77AF8"/>
    <w:rsid w:val="00E82A7E"/>
    <w:rsid w:val="00EA59A2"/>
    <w:rsid w:val="00EB19FC"/>
    <w:rsid w:val="00EB5DB1"/>
    <w:rsid w:val="00EC4E2E"/>
    <w:rsid w:val="00ED09A6"/>
    <w:rsid w:val="00ED7B62"/>
    <w:rsid w:val="00EE46FD"/>
    <w:rsid w:val="00EF0CBD"/>
    <w:rsid w:val="00F02349"/>
    <w:rsid w:val="00F23A82"/>
    <w:rsid w:val="00F23D39"/>
    <w:rsid w:val="00F3038A"/>
    <w:rsid w:val="00F356F5"/>
    <w:rsid w:val="00F37027"/>
    <w:rsid w:val="00F66F23"/>
    <w:rsid w:val="00F72C47"/>
    <w:rsid w:val="00F82542"/>
    <w:rsid w:val="00F83D78"/>
    <w:rsid w:val="00F8448B"/>
    <w:rsid w:val="00F85AFE"/>
    <w:rsid w:val="00F94BB7"/>
    <w:rsid w:val="00FC3FE1"/>
    <w:rsid w:val="00FD7F17"/>
    <w:rsid w:val="00FF47FB"/>
    <w:rsid w:val="00FF7C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4E2E"/>
  </w:style>
  <w:style w:type="paragraph" w:styleId="Titolo1">
    <w:name w:val="heading 1"/>
    <w:basedOn w:val="Normale"/>
    <w:next w:val="Normale"/>
    <w:link w:val="Titolo1Carattere"/>
    <w:uiPriority w:val="9"/>
    <w:qFormat/>
    <w:rsid w:val="004B5B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468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B5BB2"/>
    <w:rPr>
      <w:rFonts w:asciiTheme="majorHAnsi" w:eastAsiaTheme="majorEastAsia" w:hAnsiTheme="majorHAnsi" w:cstheme="majorBidi"/>
      <w:color w:val="2E74B5" w:themeColor="accent1" w:themeShade="BF"/>
      <w:sz w:val="32"/>
      <w:szCs w:val="32"/>
    </w:rPr>
  </w:style>
  <w:style w:type="paragraph" w:styleId="Testonotaapidipagina">
    <w:name w:val="footnote text"/>
    <w:basedOn w:val="Normale"/>
    <w:link w:val="TestonotaapidipaginaCarattere"/>
    <w:uiPriority w:val="99"/>
    <w:unhideWhenUsed/>
    <w:rsid w:val="005D4F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D4FCE"/>
    <w:rPr>
      <w:sz w:val="20"/>
      <w:szCs w:val="20"/>
    </w:rPr>
  </w:style>
  <w:style w:type="character" w:styleId="Rimandonotaapidipagina">
    <w:name w:val="footnote reference"/>
    <w:basedOn w:val="Carpredefinitoparagrafo"/>
    <w:semiHidden/>
    <w:unhideWhenUsed/>
    <w:rsid w:val="005D4FCE"/>
    <w:rPr>
      <w:vertAlign w:val="superscript"/>
    </w:rPr>
  </w:style>
  <w:style w:type="table" w:customStyle="1" w:styleId="PlainTable1">
    <w:name w:val="Plain Table 1"/>
    <w:basedOn w:val="Tabellanormale"/>
    <w:uiPriority w:val="41"/>
    <w:rsid w:val="00D71A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foelenco">
    <w:name w:val="List Paragraph"/>
    <w:basedOn w:val="Normale"/>
    <w:uiPriority w:val="34"/>
    <w:qFormat/>
    <w:rsid w:val="004E0B15"/>
    <w:pPr>
      <w:ind w:left="720"/>
      <w:contextualSpacing/>
    </w:pPr>
  </w:style>
  <w:style w:type="paragraph" w:styleId="Intestazione">
    <w:name w:val="header"/>
    <w:basedOn w:val="Normale"/>
    <w:link w:val="IntestazioneCarattere"/>
    <w:uiPriority w:val="99"/>
    <w:unhideWhenUsed/>
    <w:rsid w:val="00C107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75B"/>
  </w:style>
  <w:style w:type="paragraph" w:styleId="Pidipagina">
    <w:name w:val="footer"/>
    <w:basedOn w:val="Normale"/>
    <w:link w:val="PidipaginaCarattere"/>
    <w:uiPriority w:val="99"/>
    <w:unhideWhenUsed/>
    <w:rsid w:val="00C107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75B"/>
  </w:style>
  <w:style w:type="paragraph" w:styleId="NormaleWeb">
    <w:name w:val="Normal (Web)"/>
    <w:basedOn w:val="Normale"/>
    <w:uiPriority w:val="99"/>
    <w:semiHidden/>
    <w:unhideWhenUsed/>
    <w:rsid w:val="006E7372"/>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customStyle="1" w:styleId="Titolo2Carattere">
    <w:name w:val="Titolo 2 Carattere"/>
    <w:basedOn w:val="Carpredefinitoparagrafo"/>
    <w:link w:val="Titolo2"/>
    <w:uiPriority w:val="9"/>
    <w:rsid w:val="0034682A"/>
    <w:rPr>
      <w:rFonts w:asciiTheme="majorHAnsi" w:eastAsiaTheme="majorEastAsia" w:hAnsiTheme="majorHAnsi" w:cstheme="majorBidi"/>
      <w:color w:val="2E74B5" w:themeColor="accent1" w:themeShade="BF"/>
      <w:sz w:val="26"/>
      <w:szCs w:val="26"/>
    </w:rPr>
  </w:style>
  <w:style w:type="paragraph" w:styleId="Titolosommario">
    <w:name w:val="TOC Heading"/>
    <w:basedOn w:val="Titolo1"/>
    <w:next w:val="Normale"/>
    <w:uiPriority w:val="39"/>
    <w:unhideWhenUsed/>
    <w:qFormat/>
    <w:rsid w:val="003055EF"/>
    <w:pPr>
      <w:outlineLvl w:val="9"/>
    </w:pPr>
    <w:rPr>
      <w:lang w:eastAsia="it-IT"/>
    </w:rPr>
  </w:style>
  <w:style w:type="paragraph" w:styleId="Sommario1">
    <w:name w:val="toc 1"/>
    <w:basedOn w:val="Normale"/>
    <w:next w:val="Normale"/>
    <w:autoRedefine/>
    <w:uiPriority w:val="39"/>
    <w:unhideWhenUsed/>
    <w:rsid w:val="003055EF"/>
    <w:pPr>
      <w:spacing w:after="100"/>
    </w:pPr>
  </w:style>
  <w:style w:type="paragraph" w:styleId="Sommario2">
    <w:name w:val="toc 2"/>
    <w:basedOn w:val="Normale"/>
    <w:next w:val="Normale"/>
    <w:autoRedefine/>
    <w:uiPriority w:val="39"/>
    <w:unhideWhenUsed/>
    <w:rsid w:val="003055EF"/>
    <w:pPr>
      <w:spacing w:after="100"/>
      <w:ind w:left="220"/>
    </w:pPr>
  </w:style>
  <w:style w:type="character" w:styleId="Collegamentoipertestuale">
    <w:name w:val="Hyperlink"/>
    <w:basedOn w:val="Carpredefinitoparagrafo"/>
    <w:uiPriority w:val="99"/>
    <w:unhideWhenUsed/>
    <w:rsid w:val="003055EF"/>
    <w:rPr>
      <w:color w:val="0563C1" w:themeColor="hyperlink"/>
      <w:u w:val="single"/>
    </w:rPr>
  </w:style>
  <w:style w:type="character" w:customStyle="1" w:styleId="apple-style-span">
    <w:name w:val="apple-style-span"/>
    <w:basedOn w:val="Carpredefinitoparagrafo"/>
    <w:rsid w:val="00373458"/>
  </w:style>
  <w:style w:type="character" w:customStyle="1" w:styleId="apple-converted-space">
    <w:name w:val="apple-converted-space"/>
    <w:basedOn w:val="Carpredefinitoparagrafo"/>
    <w:rsid w:val="00373458"/>
  </w:style>
  <w:style w:type="character" w:styleId="Collegamentovisitato">
    <w:name w:val="FollowedHyperlink"/>
    <w:basedOn w:val="Carpredefinitoparagrafo"/>
    <w:uiPriority w:val="99"/>
    <w:semiHidden/>
    <w:unhideWhenUsed/>
    <w:rsid w:val="00EB19FC"/>
    <w:rPr>
      <w:color w:val="954F72" w:themeColor="followedHyperlink"/>
      <w:u w:val="single"/>
    </w:rPr>
  </w:style>
  <w:style w:type="paragraph" w:styleId="Testofumetto">
    <w:name w:val="Balloon Text"/>
    <w:basedOn w:val="Normale"/>
    <w:link w:val="TestofumettoCarattere"/>
    <w:uiPriority w:val="99"/>
    <w:semiHidden/>
    <w:unhideWhenUsed/>
    <w:rsid w:val="005A31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149"/>
    <w:rPr>
      <w:rFonts w:ascii="Tahoma" w:hAnsi="Tahoma" w:cs="Tahoma"/>
      <w:sz w:val="16"/>
      <w:szCs w:val="16"/>
    </w:rPr>
  </w:style>
  <w:style w:type="table" w:styleId="Grigliatabella">
    <w:name w:val="Table Grid"/>
    <w:basedOn w:val="Tabellanormale"/>
    <w:uiPriority w:val="39"/>
    <w:rsid w:val="00CB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4E2E"/>
  </w:style>
  <w:style w:type="paragraph" w:styleId="Titolo1">
    <w:name w:val="heading 1"/>
    <w:basedOn w:val="Normale"/>
    <w:next w:val="Normale"/>
    <w:link w:val="Titolo1Carattere"/>
    <w:uiPriority w:val="9"/>
    <w:qFormat/>
    <w:rsid w:val="004B5B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468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B5BB2"/>
    <w:rPr>
      <w:rFonts w:asciiTheme="majorHAnsi" w:eastAsiaTheme="majorEastAsia" w:hAnsiTheme="majorHAnsi" w:cstheme="majorBidi"/>
      <w:color w:val="2E74B5" w:themeColor="accent1" w:themeShade="BF"/>
      <w:sz w:val="32"/>
      <w:szCs w:val="32"/>
    </w:rPr>
  </w:style>
  <w:style w:type="paragraph" w:styleId="Testonotaapidipagina">
    <w:name w:val="footnote text"/>
    <w:basedOn w:val="Normale"/>
    <w:link w:val="TestonotaapidipaginaCarattere"/>
    <w:uiPriority w:val="99"/>
    <w:unhideWhenUsed/>
    <w:rsid w:val="005D4F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D4FCE"/>
    <w:rPr>
      <w:sz w:val="20"/>
      <w:szCs w:val="20"/>
    </w:rPr>
  </w:style>
  <w:style w:type="character" w:styleId="Rimandonotaapidipagina">
    <w:name w:val="footnote reference"/>
    <w:basedOn w:val="Carpredefinitoparagrafo"/>
    <w:semiHidden/>
    <w:unhideWhenUsed/>
    <w:rsid w:val="005D4FCE"/>
    <w:rPr>
      <w:vertAlign w:val="superscript"/>
    </w:rPr>
  </w:style>
  <w:style w:type="table" w:customStyle="1" w:styleId="PlainTable1">
    <w:name w:val="Plain Table 1"/>
    <w:basedOn w:val="Tabellanormale"/>
    <w:uiPriority w:val="41"/>
    <w:rsid w:val="00D71A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foelenco">
    <w:name w:val="List Paragraph"/>
    <w:basedOn w:val="Normale"/>
    <w:uiPriority w:val="34"/>
    <w:qFormat/>
    <w:rsid w:val="004E0B15"/>
    <w:pPr>
      <w:ind w:left="720"/>
      <w:contextualSpacing/>
    </w:pPr>
  </w:style>
  <w:style w:type="paragraph" w:styleId="Intestazione">
    <w:name w:val="header"/>
    <w:basedOn w:val="Normale"/>
    <w:link w:val="IntestazioneCarattere"/>
    <w:uiPriority w:val="99"/>
    <w:unhideWhenUsed/>
    <w:rsid w:val="00C107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75B"/>
  </w:style>
  <w:style w:type="paragraph" w:styleId="Pidipagina">
    <w:name w:val="footer"/>
    <w:basedOn w:val="Normale"/>
    <w:link w:val="PidipaginaCarattere"/>
    <w:uiPriority w:val="99"/>
    <w:unhideWhenUsed/>
    <w:rsid w:val="00C107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75B"/>
  </w:style>
  <w:style w:type="paragraph" w:styleId="NormaleWeb">
    <w:name w:val="Normal (Web)"/>
    <w:basedOn w:val="Normale"/>
    <w:uiPriority w:val="99"/>
    <w:semiHidden/>
    <w:unhideWhenUsed/>
    <w:rsid w:val="006E7372"/>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customStyle="1" w:styleId="Titolo2Carattere">
    <w:name w:val="Titolo 2 Carattere"/>
    <w:basedOn w:val="Carpredefinitoparagrafo"/>
    <w:link w:val="Titolo2"/>
    <w:uiPriority w:val="9"/>
    <w:rsid w:val="0034682A"/>
    <w:rPr>
      <w:rFonts w:asciiTheme="majorHAnsi" w:eastAsiaTheme="majorEastAsia" w:hAnsiTheme="majorHAnsi" w:cstheme="majorBidi"/>
      <w:color w:val="2E74B5" w:themeColor="accent1" w:themeShade="BF"/>
      <w:sz w:val="26"/>
      <w:szCs w:val="26"/>
    </w:rPr>
  </w:style>
  <w:style w:type="paragraph" w:styleId="Titolosommario">
    <w:name w:val="TOC Heading"/>
    <w:basedOn w:val="Titolo1"/>
    <w:next w:val="Normale"/>
    <w:uiPriority w:val="39"/>
    <w:unhideWhenUsed/>
    <w:qFormat/>
    <w:rsid w:val="003055EF"/>
    <w:pPr>
      <w:outlineLvl w:val="9"/>
    </w:pPr>
    <w:rPr>
      <w:lang w:eastAsia="it-IT"/>
    </w:rPr>
  </w:style>
  <w:style w:type="paragraph" w:styleId="Sommario1">
    <w:name w:val="toc 1"/>
    <w:basedOn w:val="Normale"/>
    <w:next w:val="Normale"/>
    <w:autoRedefine/>
    <w:uiPriority w:val="39"/>
    <w:unhideWhenUsed/>
    <w:rsid w:val="003055EF"/>
    <w:pPr>
      <w:spacing w:after="100"/>
    </w:pPr>
  </w:style>
  <w:style w:type="paragraph" w:styleId="Sommario2">
    <w:name w:val="toc 2"/>
    <w:basedOn w:val="Normale"/>
    <w:next w:val="Normale"/>
    <w:autoRedefine/>
    <w:uiPriority w:val="39"/>
    <w:unhideWhenUsed/>
    <w:rsid w:val="003055EF"/>
    <w:pPr>
      <w:spacing w:after="100"/>
      <w:ind w:left="220"/>
    </w:pPr>
  </w:style>
  <w:style w:type="character" w:styleId="Collegamentoipertestuale">
    <w:name w:val="Hyperlink"/>
    <w:basedOn w:val="Carpredefinitoparagrafo"/>
    <w:uiPriority w:val="99"/>
    <w:unhideWhenUsed/>
    <w:rsid w:val="003055EF"/>
    <w:rPr>
      <w:color w:val="0563C1" w:themeColor="hyperlink"/>
      <w:u w:val="single"/>
    </w:rPr>
  </w:style>
  <w:style w:type="character" w:customStyle="1" w:styleId="apple-style-span">
    <w:name w:val="apple-style-span"/>
    <w:basedOn w:val="Carpredefinitoparagrafo"/>
    <w:rsid w:val="00373458"/>
  </w:style>
  <w:style w:type="character" w:customStyle="1" w:styleId="apple-converted-space">
    <w:name w:val="apple-converted-space"/>
    <w:basedOn w:val="Carpredefinitoparagrafo"/>
    <w:rsid w:val="00373458"/>
  </w:style>
  <w:style w:type="character" w:styleId="Collegamentovisitato">
    <w:name w:val="FollowedHyperlink"/>
    <w:basedOn w:val="Carpredefinitoparagrafo"/>
    <w:uiPriority w:val="99"/>
    <w:semiHidden/>
    <w:unhideWhenUsed/>
    <w:rsid w:val="00EB19FC"/>
    <w:rPr>
      <w:color w:val="954F72" w:themeColor="followedHyperlink"/>
      <w:u w:val="single"/>
    </w:rPr>
  </w:style>
  <w:style w:type="paragraph" w:styleId="Testofumetto">
    <w:name w:val="Balloon Text"/>
    <w:basedOn w:val="Normale"/>
    <w:link w:val="TestofumettoCarattere"/>
    <w:uiPriority w:val="99"/>
    <w:semiHidden/>
    <w:unhideWhenUsed/>
    <w:rsid w:val="005A31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149"/>
    <w:rPr>
      <w:rFonts w:ascii="Tahoma" w:hAnsi="Tahoma" w:cs="Tahoma"/>
      <w:sz w:val="16"/>
      <w:szCs w:val="16"/>
    </w:rPr>
  </w:style>
  <w:style w:type="table" w:styleId="Grigliatabella">
    <w:name w:val="Table Grid"/>
    <w:basedOn w:val="Tabellanormale"/>
    <w:uiPriority w:val="39"/>
    <w:rsid w:val="00CB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2254">
      <w:bodyDiv w:val="1"/>
      <w:marLeft w:val="0"/>
      <w:marRight w:val="0"/>
      <w:marTop w:val="0"/>
      <w:marBottom w:val="0"/>
      <w:divBdr>
        <w:top w:val="none" w:sz="0" w:space="0" w:color="auto"/>
        <w:left w:val="none" w:sz="0" w:space="0" w:color="auto"/>
        <w:bottom w:val="none" w:sz="0" w:space="0" w:color="auto"/>
        <w:right w:val="none" w:sz="0" w:space="0" w:color="auto"/>
      </w:divBdr>
    </w:div>
    <w:div w:id="1287128558">
      <w:bodyDiv w:val="1"/>
      <w:marLeft w:val="0"/>
      <w:marRight w:val="0"/>
      <w:marTop w:val="0"/>
      <w:marBottom w:val="0"/>
      <w:divBdr>
        <w:top w:val="none" w:sz="0" w:space="0" w:color="auto"/>
        <w:left w:val="none" w:sz="0" w:space="0" w:color="auto"/>
        <w:bottom w:val="none" w:sz="0" w:space="0" w:color="auto"/>
        <w:right w:val="none" w:sz="0" w:space="0" w:color="auto"/>
      </w:divBdr>
    </w:div>
    <w:div w:id="1401363268">
      <w:bodyDiv w:val="1"/>
      <w:marLeft w:val="0"/>
      <w:marRight w:val="0"/>
      <w:marTop w:val="0"/>
      <w:marBottom w:val="0"/>
      <w:divBdr>
        <w:top w:val="none" w:sz="0" w:space="0" w:color="auto"/>
        <w:left w:val="none" w:sz="0" w:space="0" w:color="auto"/>
        <w:bottom w:val="none" w:sz="0" w:space="0" w:color="auto"/>
        <w:right w:val="none" w:sz="0" w:space="0" w:color="auto"/>
      </w:divBdr>
    </w:div>
    <w:div w:id="16899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D29BD-6661-4FCA-A7A2-B1401EBD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1350</Words>
  <Characters>7697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tributi</cp:lastModifiedBy>
  <cp:revision>4</cp:revision>
  <cp:lastPrinted>2015-05-28T08:02:00Z</cp:lastPrinted>
  <dcterms:created xsi:type="dcterms:W3CDTF">2015-05-18T06:09:00Z</dcterms:created>
  <dcterms:modified xsi:type="dcterms:W3CDTF">2015-05-28T08:10:00Z</dcterms:modified>
</cp:coreProperties>
</file>